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杭州</w:t>
      </w:r>
      <w:r>
        <w:rPr>
          <w:rFonts w:hint="eastAsia" w:ascii="方正小标宋_GBK" w:hAnsi="方正小标宋_GBK" w:eastAsia="方正小标宋_GBK" w:cs="方正小标宋_GBK"/>
          <w:sz w:val="44"/>
          <w:szCs w:val="44"/>
          <w:lang w:val="en-US" w:eastAsia="zh-CN"/>
        </w:rPr>
        <w:t>国宇物产管理</w:t>
      </w:r>
      <w:r>
        <w:rPr>
          <w:rFonts w:hint="eastAsia" w:ascii="方正小标宋_GBK" w:hAnsi="方正小标宋_GBK" w:eastAsia="方正小标宋_GBK" w:cs="方正小标宋_GBK"/>
          <w:sz w:val="44"/>
          <w:szCs w:val="44"/>
        </w:rPr>
        <w:t>有限公司</w:t>
      </w: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员工年度体检项目</w:t>
      </w:r>
    </w:p>
    <w:p>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pPr>
        <w:jc w:val="center"/>
        <w:outlineLvl w:val="1"/>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竞 争 性 磋 商 文 件</w:t>
      </w:r>
    </w:p>
    <w:p>
      <w:pPr>
        <w:rPr>
          <w:sz w:val="44"/>
          <w:szCs w:val="44"/>
        </w:rPr>
      </w:pPr>
      <w:r>
        <w:rPr>
          <w:rFonts w:hint="eastAsia"/>
          <w:sz w:val="44"/>
          <w:szCs w:val="44"/>
        </w:rPr>
        <w:t xml:space="preserve"> </w:t>
      </w:r>
    </w:p>
    <w:p>
      <w:pPr>
        <w:rPr>
          <w:sz w:val="44"/>
          <w:szCs w:val="44"/>
        </w:rPr>
      </w:pPr>
      <w:r>
        <w:rPr>
          <w:rFonts w:hint="eastAsia"/>
          <w:sz w:val="44"/>
          <w:szCs w:val="44"/>
        </w:rPr>
        <w:t xml:space="preserve"> </w:t>
      </w:r>
    </w:p>
    <w:p>
      <w:pPr>
        <w:rPr>
          <w:sz w:val="44"/>
          <w:szCs w:val="44"/>
        </w:rPr>
      </w:pPr>
      <w:r>
        <w:rPr>
          <w:rFonts w:hint="eastAsia"/>
          <w:sz w:val="44"/>
          <w:szCs w:val="44"/>
        </w:rPr>
        <w:t xml:space="preserve"> </w:t>
      </w:r>
    </w:p>
    <w:p>
      <w:pPr>
        <w:spacing w:line="660" w:lineRule="exact"/>
        <w:outlineLvl w:val="1"/>
        <w:rPr>
          <w:rFonts w:ascii="宋体" w:hAnsi="宋体" w:eastAsia="宋体" w:cs="宋体"/>
          <w:sz w:val="44"/>
          <w:szCs w:val="44"/>
        </w:rPr>
      </w:pPr>
      <w:r>
        <w:rPr>
          <w:rFonts w:hint="eastAsia" w:ascii="宋体" w:hAnsi="宋体" w:eastAsia="宋体" w:cs="宋体"/>
          <w:sz w:val="44"/>
          <w:szCs w:val="44"/>
        </w:rPr>
        <w:t>采 购 人：杭州</w:t>
      </w:r>
      <w:r>
        <w:rPr>
          <w:rFonts w:hint="eastAsia" w:ascii="宋体" w:hAnsi="宋体" w:eastAsia="宋体" w:cs="宋体"/>
          <w:sz w:val="44"/>
          <w:szCs w:val="44"/>
          <w:lang w:val="en-US" w:eastAsia="zh-CN"/>
        </w:rPr>
        <w:t>国宇物产管理</w:t>
      </w:r>
      <w:r>
        <w:rPr>
          <w:rFonts w:hint="eastAsia" w:ascii="宋体" w:hAnsi="宋体" w:eastAsia="宋体" w:cs="宋体"/>
          <w:sz w:val="44"/>
          <w:szCs w:val="44"/>
        </w:rPr>
        <w:t xml:space="preserve">有限公司 </w:t>
      </w:r>
    </w:p>
    <w:p>
      <w:pPr>
        <w:spacing w:line="660" w:lineRule="exact"/>
        <w:outlineLvl w:val="1"/>
        <w:rPr>
          <w:rFonts w:ascii="宋体" w:hAnsi="宋体" w:eastAsia="宋体" w:cs="宋体"/>
          <w:sz w:val="44"/>
          <w:szCs w:val="44"/>
        </w:rPr>
      </w:pPr>
      <w:r>
        <w:rPr>
          <w:rFonts w:hint="eastAsia" w:ascii="宋体" w:hAnsi="宋体" w:eastAsia="宋体" w:cs="宋体"/>
          <w:sz w:val="44"/>
          <w:szCs w:val="44"/>
        </w:rPr>
        <w:t>联系电话：0571-</w:t>
      </w:r>
      <w:r>
        <w:rPr>
          <w:rFonts w:hint="eastAsia" w:ascii="宋体" w:hAnsi="宋体" w:eastAsia="宋体" w:cs="宋体"/>
          <w:sz w:val="44"/>
          <w:szCs w:val="44"/>
          <w:lang w:val="en-US" w:eastAsia="zh-CN"/>
        </w:rPr>
        <w:t>85097619</w:t>
      </w:r>
      <w:r>
        <w:rPr>
          <w:rFonts w:hint="eastAsia" w:ascii="宋体" w:hAnsi="宋体" w:eastAsia="宋体" w:cs="宋体"/>
          <w:sz w:val="44"/>
          <w:szCs w:val="44"/>
        </w:rPr>
        <w:t xml:space="preserve"> </w:t>
      </w:r>
    </w:p>
    <w:p>
      <w:pPr>
        <w:spacing w:line="660" w:lineRule="exact"/>
        <w:outlineLvl w:val="1"/>
        <w:rPr>
          <w:rFonts w:ascii="宋体" w:hAnsi="宋体" w:eastAsia="宋体" w:cs="宋体"/>
          <w:sz w:val="44"/>
          <w:szCs w:val="44"/>
        </w:rPr>
      </w:pPr>
      <w:r>
        <w:rPr>
          <w:rFonts w:hint="eastAsia" w:ascii="宋体" w:hAnsi="宋体" w:eastAsia="宋体" w:cs="宋体"/>
          <w:sz w:val="44"/>
          <w:szCs w:val="44"/>
        </w:rPr>
        <w:t>联系地址：杭州市庆春东路68号国有资本投资大厦</w:t>
      </w:r>
      <w:r>
        <w:rPr>
          <w:rFonts w:hint="eastAsia" w:ascii="宋体" w:hAnsi="宋体" w:eastAsia="宋体" w:cs="宋体"/>
          <w:sz w:val="44"/>
          <w:szCs w:val="44"/>
          <w:lang w:val="en-US" w:eastAsia="zh-CN"/>
        </w:rPr>
        <w:t>6</w:t>
      </w:r>
      <w:r>
        <w:rPr>
          <w:rFonts w:hint="eastAsia" w:ascii="宋体" w:hAnsi="宋体" w:eastAsia="宋体" w:cs="宋体"/>
          <w:sz w:val="44"/>
          <w:szCs w:val="44"/>
        </w:rPr>
        <w:t xml:space="preserve">F </w:t>
      </w:r>
    </w:p>
    <w:p>
      <w:pPr>
        <w:rPr>
          <w:sz w:val="44"/>
          <w:szCs w:val="44"/>
        </w:rPr>
      </w:pPr>
      <w:r>
        <w:rPr>
          <w:rFonts w:hint="eastAsia"/>
          <w:sz w:val="44"/>
          <w:szCs w:val="44"/>
        </w:rPr>
        <w:t xml:space="preserve"> </w:t>
      </w:r>
    </w:p>
    <w:p>
      <w:pPr>
        <w:rPr>
          <w:sz w:val="44"/>
          <w:szCs w:val="44"/>
        </w:rPr>
      </w:pPr>
      <w:r>
        <w:rPr>
          <w:rFonts w:hint="eastAsia"/>
          <w:sz w:val="44"/>
          <w:szCs w:val="44"/>
        </w:rPr>
        <w:t xml:space="preserve"> </w:t>
      </w:r>
    </w:p>
    <w:p>
      <w:pPr>
        <w:rPr>
          <w:sz w:val="44"/>
          <w:szCs w:val="44"/>
        </w:rPr>
      </w:pPr>
    </w:p>
    <w:p>
      <w:pPr>
        <w:rPr>
          <w:sz w:val="44"/>
          <w:szCs w:val="44"/>
        </w:rPr>
      </w:pPr>
      <w:r>
        <w:rPr>
          <w:rFonts w:hint="eastAsia"/>
          <w:sz w:val="44"/>
          <w:szCs w:val="44"/>
        </w:rPr>
        <w:t xml:space="preserve"> </w:t>
      </w:r>
    </w:p>
    <w:p>
      <w:pPr>
        <w:rPr>
          <w:sz w:val="44"/>
          <w:szCs w:val="44"/>
        </w:rPr>
      </w:pPr>
      <w:r>
        <w:rPr>
          <w:rFonts w:hint="eastAsia"/>
          <w:sz w:val="44"/>
          <w:szCs w:val="44"/>
        </w:rPr>
        <w:t xml:space="preserve"> </w:t>
      </w:r>
    </w:p>
    <w:p>
      <w:pPr>
        <w:jc w:val="center"/>
        <w:outlineLvl w:val="0"/>
        <w:rPr>
          <w:rFonts w:ascii="宋体" w:hAnsi="宋体" w:eastAsia="宋体" w:cs="宋体"/>
          <w:sz w:val="44"/>
          <w:szCs w:val="44"/>
        </w:rPr>
      </w:pPr>
      <w:r>
        <w:rPr>
          <w:rFonts w:hint="eastAsia" w:ascii="宋体" w:hAnsi="宋体" w:eastAsia="宋体" w:cs="宋体"/>
          <w:sz w:val="44"/>
          <w:szCs w:val="44"/>
        </w:rPr>
        <w:t>二〇二四年</w:t>
      </w:r>
      <w:r>
        <w:rPr>
          <w:rFonts w:hint="eastAsia" w:ascii="宋体" w:hAnsi="宋体" w:eastAsia="宋体" w:cs="宋体"/>
          <w:sz w:val="44"/>
          <w:szCs w:val="44"/>
          <w:lang w:val="en-US" w:eastAsia="zh-CN"/>
        </w:rPr>
        <w:t>九</w:t>
      </w:r>
      <w:r>
        <w:rPr>
          <w:rFonts w:hint="eastAsia" w:ascii="宋体" w:hAnsi="宋体" w:eastAsia="宋体" w:cs="宋体"/>
          <w:sz w:val="44"/>
          <w:szCs w:val="44"/>
        </w:rPr>
        <w:t>月</w:t>
      </w:r>
    </w:p>
    <w:p>
      <w:pPr>
        <w:jc w:val="center"/>
        <w:rPr>
          <w:rFonts w:ascii="宋体" w:hAnsi="宋体" w:eastAsia="宋体" w:cs="宋体"/>
          <w:sz w:val="44"/>
          <w:szCs w:val="44"/>
        </w:rPr>
      </w:pPr>
    </w:p>
    <w:p>
      <w:pPr>
        <w:jc w:val="center"/>
        <w:rPr>
          <w:rFonts w:ascii="宋体" w:hAnsi="宋体" w:eastAsia="宋体" w:cs="宋体"/>
          <w:sz w:val="44"/>
          <w:szCs w:val="44"/>
        </w:rPr>
      </w:pPr>
    </w:p>
    <w:p>
      <w:pPr>
        <w:jc w:val="center"/>
        <w:rPr>
          <w:rFonts w:ascii="宋体" w:hAnsi="宋体" w:eastAsia="宋体" w:cs="宋体"/>
          <w:sz w:val="44"/>
          <w:szCs w:val="44"/>
        </w:rPr>
      </w:pPr>
    </w:p>
    <w:p>
      <w:pPr>
        <w:ind w:firstLine="640" w:firstLineChars="200"/>
        <w:jc w:val="center"/>
        <w:rPr>
          <w:rFonts w:ascii="黑体" w:hAnsi="黑体" w:eastAsia="黑体" w:cs="黑体"/>
          <w:sz w:val="32"/>
          <w:szCs w:val="32"/>
        </w:rPr>
        <w:sectPr>
          <w:footerReference r:id="rId3" w:type="default"/>
          <w:pgSz w:w="11906" w:h="16838"/>
          <w:pgMar w:top="1440" w:right="1633" w:bottom="1440" w:left="1633" w:header="851" w:footer="992" w:gutter="0"/>
          <w:cols w:space="425" w:num="1"/>
          <w:docGrid w:type="lines" w:linePitch="312" w:charSpace="0"/>
        </w:sectPr>
      </w:pPr>
    </w:p>
    <w:p>
      <w:pPr>
        <w:ind w:firstLine="640" w:firstLineChars="200"/>
        <w:jc w:val="center"/>
        <w:outlineLvl w:val="0"/>
        <w:rPr>
          <w:rFonts w:ascii="黑体" w:hAnsi="黑体" w:eastAsia="黑体" w:cs="黑体"/>
          <w:sz w:val="32"/>
          <w:szCs w:val="32"/>
        </w:rPr>
      </w:pPr>
      <w:r>
        <w:rPr>
          <w:rFonts w:hint="eastAsia" w:ascii="黑体" w:hAnsi="黑体" w:eastAsia="黑体" w:cs="黑体"/>
          <w:sz w:val="32"/>
          <w:szCs w:val="32"/>
        </w:rPr>
        <w:t>目  录</w:t>
      </w:r>
    </w:p>
    <w:p>
      <w:pPr>
        <w:rPr>
          <w:rFonts w:ascii="黑体" w:hAnsi="黑体" w:eastAsia="黑体" w:cs="黑体"/>
          <w:sz w:val="32"/>
          <w:szCs w:val="32"/>
        </w:rPr>
      </w:pPr>
    </w:p>
    <w:p>
      <w:pPr>
        <w:jc w:val="distribute"/>
        <w:outlineLvl w:val="0"/>
        <w:rPr>
          <w:rFonts w:ascii="黑体" w:hAnsi="黑体" w:eastAsia="黑体" w:cs="黑体"/>
          <w:sz w:val="32"/>
          <w:szCs w:val="32"/>
        </w:rPr>
      </w:pPr>
      <w:r>
        <w:rPr>
          <w:rFonts w:hint="eastAsia" w:ascii="黑体" w:hAnsi="黑体" w:eastAsia="黑体" w:cs="黑体"/>
          <w:sz w:val="32"/>
          <w:szCs w:val="32"/>
        </w:rPr>
        <w:t>第一部分  项目概况..................................1</w:t>
      </w:r>
    </w:p>
    <w:p>
      <w:pPr>
        <w:jc w:val="distribute"/>
        <w:outlineLvl w:val="0"/>
        <w:rPr>
          <w:rFonts w:ascii="黑体" w:hAnsi="黑体" w:eastAsia="黑体" w:cs="黑体"/>
          <w:sz w:val="32"/>
          <w:szCs w:val="32"/>
        </w:rPr>
      </w:pPr>
      <w:r>
        <w:rPr>
          <w:rFonts w:hint="eastAsia" w:ascii="黑体" w:hAnsi="黑体" w:eastAsia="黑体" w:cs="黑体"/>
          <w:sz w:val="32"/>
          <w:szCs w:val="32"/>
        </w:rPr>
        <w:t>第二部分 磋商响应方须知.......................4</w:t>
      </w:r>
    </w:p>
    <w:p>
      <w:pPr>
        <w:jc w:val="distribute"/>
        <w:outlineLvl w:val="0"/>
        <w:rPr>
          <w:rFonts w:ascii="黑体" w:hAnsi="黑体" w:eastAsia="黑体" w:cs="黑体"/>
          <w:sz w:val="32"/>
          <w:szCs w:val="32"/>
        </w:rPr>
      </w:pPr>
      <w:r>
        <w:rPr>
          <w:rFonts w:hint="eastAsia" w:ascii="黑体" w:hAnsi="黑体" w:eastAsia="黑体" w:cs="黑体"/>
          <w:sz w:val="32"/>
          <w:szCs w:val="32"/>
        </w:rPr>
        <w:t>第三部分  磋商细则..................................9</w:t>
      </w:r>
    </w:p>
    <w:p>
      <w:pP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ind w:firstLine="640" w:firstLineChars="200"/>
        <w:jc w:val="center"/>
        <w:rPr>
          <w:rFonts w:ascii="黑体" w:hAnsi="黑体" w:eastAsia="黑体" w:cs="黑体"/>
          <w:sz w:val="32"/>
          <w:szCs w:val="32"/>
        </w:rPr>
      </w:pPr>
    </w:p>
    <w:p>
      <w:pPr>
        <w:spacing w:line="360" w:lineRule="auto"/>
        <w:ind w:firstLine="640" w:firstLineChars="200"/>
        <w:jc w:val="center"/>
        <w:rPr>
          <w:rFonts w:ascii="黑体" w:hAnsi="黑体" w:eastAsia="黑体" w:cs="黑体"/>
          <w:sz w:val="32"/>
          <w:szCs w:val="32"/>
        </w:rPr>
        <w:sectPr>
          <w:footerReference r:id="rId4" w:type="default"/>
          <w:pgSz w:w="11906" w:h="16838"/>
          <w:pgMar w:top="1440" w:right="1633" w:bottom="1440" w:left="1633" w:header="851" w:footer="992" w:gutter="0"/>
          <w:pgNumType w:start="1"/>
          <w:cols w:space="425" w:num="1"/>
          <w:docGrid w:type="lines" w:linePitch="312" w:charSpace="0"/>
        </w:sectPr>
      </w:pPr>
    </w:p>
    <w:p>
      <w:pPr>
        <w:spacing w:line="360" w:lineRule="auto"/>
        <w:ind w:firstLine="640" w:firstLineChars="200"/>
        <w:jc w:val="center"/>
        <w:outlineLvl w:val="0"/>
        <w:rPr>
          <w:rFonts w:ascii="黑体" w:hAnsi="黑体" w:eastAsia="黑体" w:cs="黑体"/>
          <w:sz w:val="32"/>
          <w:szCs w:val="32"/>
        </w:rPr>
      </w:pPr>
      <w:r>
        <w:rPr>
          <w:rFonts w:hint="eastAsia" w:ascii="黑体" w:hAnsi="黑体" w:eastAsia="黑体" w:cs="黑体"/>
          <w:sz w:val="32"/>
          <w:szCs w:val="32"/>
        </w:rPr>
        <w:t>第一部分  项目概况</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仿宋_GB2312" w:hAnsi="仿宋_GB2312" w:eastAsia="仿宋_GB2312" w:cs="仿宋_GB2312"/>
          <w:sz w:val="32"/>
          <w:szCs w:val="32"/>
        </w:rPr>
      </w:pPr>
      <w:r>
        <w:rPr>
          <w:rFonts w:hint="eastAsia" w:ascii="黑体" w:hAnsi="黑体" w:eastAsia="黑体" w:cs="黑体"/>
          <w:sz w:val="32"/>
          <w:szCs w:val="32"/>
        </w:rPr>
        <w:t>一、项目基本情况</w:t>
      </w:r>
    </w:p>
    <w:p>
      <w:pPr>
        <w:spacing w:line="360" w:lineRule="auto"/>
        <w:ind w:firstLine="643"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杭州</w:t>
      </w:r>
      <w:r>
        <w:rPr>
          <w:rFonts w:hint="eastAsia" w:ascii="仿宋_GB2312" w:hAnsi="仿宋_GB2312" w:eastAsia="仿宋_GB2312" w:cs="仿宋_GB2312"/>
          <w:sz w:val="32"/>
          <w:szCs w:val="32"/>
          <w:lang w:val="en-US" w:eastAsia="zh-CN"/>
        </w:rPr>
        <w:t>国宇物产管理</w:t>
      </w:r>
      <w:r>
        <w:rPr>
          <w:rFonts w:hint="eastAsia" w:ascii="仿宋_GB2312" w:hAnsi="仿宋_GB2312" w:eastAsia="仿宋_GB2312" w:cs="仿宋_GB2312"/>
          <w:sz w:val="32"/>
          <w:szCs w:val="32"/>
        </w:rPr>
        <w:t>有限公司员工年度体检项目</w:t>
      </w:r>
    </w:p>
    <w:p>
      <w:pPr>
        <w:spacing w:line="360" w:lineRule="auto"/>
        <w:ind w:firstLine="643"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采购方式：</w:t>
      </w:r>
      <w:r>
        <w:rPr>
          <w:rFonts w:hint="eastAsia" w:ascii="仿宋_GB2312" w:hAnsi="仿宋_GB2312" w:eastAsia="仿宋_GB2312" w:cs="仿宋_GB2312"/>
          <w:sz w:val="32"/>
          <w:szCs w:val="32"/>
        </w:rPr>
        <w:t>竞争性磋商</w:t>
      </w:r>
    </w:p>
    <w:p>
      <w:pPr>
        <w:spacing w:line="360" w:lineRule="auto"/>
        <w:ind w:firstLine="643"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采购预算：</w:t>
      </w:r>
      <w:bookmarkStart w:id="7" w:name="_GoBack"/>
      <w:r>
        <w:rPr>
          <w:rFonts w:hint="eastAsia" w:ascii="仿宋_GB2312" w:hAnsi="仿宋_GB2312" w:eastAsia="仿宋_GB2312" w:cs="仿宋_GB2312"/>
          <w:b w:val="0"/>
          <w:bCs w:val="0"/>
          <w:sz w:val="32"/>
          <w:szCs w:val="32"/>
          <w:lang w:val="en-US" w:eastAsia="zh-CN"/>
        </w:rPr>
        <w:t>50</w:t>
      </w:r>
      <w:bookmarkEnd w:id="7"/>
      <w:r>
        <w:rPr>
          <w:rFonts w:hint="eastAsia" w:ascii="仿宋_GB2312" w:hAnsi="仿宋_GB2312" w:eastAsia="仿宋_GB2312" w:cs="仿宋_GB2312"/>
          <w:sz w:val="32"/>
          <w:szCs w:val="32"/>
        </w:rPr>
        <w:t>万元以内</w:t>
      </w:r>
    </w:p>
    <w:p>
      <w:pPr>
        <w:spacing w:line="360" w:lineRule="auto"/>
        <w:ind w:firstLine="643"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服务期限：</w:t>
      </w:r>
      <w:r>
        <w:rPr>
          <w:rFonts w:hint="eastAsia" w:ascii="仿宋_GB2312" w:hAnsi="仿宋_GB2312" w:eastAsia="仿宋_GB2312" w:cs="仿宋_GB2312"/>
          <w:sz w:val="32"/>
          <w:szCs w:val="32"/>
        </w:rPr>
        <w:t>有效期三年，合同按照实际人数每年一签。</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二、费用标准</w:t>
      </w:r>
    </w:p>
    <w:p>
      <w:pPr>
        <w:spacing w:line="360" w:lineRule="auto"/>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1、基础套餐参考价格：</w:t>
      </w:r>
    </w:p>
    <w:tbl>
      <w:tblPr>
        <w:tblStyle w:val="11"/>
        <w:tblpPr w:leftFromText="180" w:rightFromText="180" w:vertAnchor="text" w:horzAnchor="page" w:tblpX="1161" w:tblpY="29"/>
        <w:tblOverlap w:val="never"/>
        <w:tblW w:w="581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6"/>
        <w:gridCol w:w="776"/>
        <w:gridCol w:w="3123"/>
        <w:gridCol w:w="2095"/>
        <w:gridCol w:w="3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年度</w:t>
            </w:r>
          </w:p>
        </w:tc>
        <w:tc>
          <w:tcPr>
            <w:tcW w:w="1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磋商内容</w:t>
            </w:r>
          </w:p>
        </w:tc>
        <w:tc>
          <w:tcPr>
            <w:tcW w:w="10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参考价格（元/人）</w:t>
            </w:r>
          </w:p>
        </w:tc>
        <w:tc>
          <w:tcPr>
            <w:tcW w:w="18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参考人数（人/年）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w:t>
            </w:r>
          </w:p>
        </w:tc>
        <w:tc>
          <w:tcPr>
            <w:tcW w:w="1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男士体检套餐</w:t>
            </w:r>
          </w:p>
        </w:tc>
        <w:tc>
          <w:tcPr>
            <w:tcW w:w="10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000</w:t>
            </w:r>
          </w:p>
        </w:tc>
        <w:tc>
          <w:tcPr>
            <w:tcW w:w="18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w:t>
            </w:r>
          </w:p>
        </w:tc>
        <w:tc>
          <w:tcPr>
            <w:tcW w:w="1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女士体检套餐</w:t>
            </w:r>
          </w:p>
        </w:tc>
        <w:tc>
          <w:tcPr>
            <w:tcW w:w="10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2000</w:t>
            </w:r>
          </w:p>
        </w:tc>
        <w:tc>
          <w:tcPr>
            <w:tcW w:w="18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2025</w:t>
            </w:r>
          </w:p>
        </w:tc>
        <w:tc>
          <w:tcPr>
            <w:tcW w:w="1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男士/女士体检套餐</w:t>
            </w:r>
          </w:p>
        </w:tc>
        <w:tc>
          <w:tcPr>
            <w:tcW w:w="10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00</w:t>
            </w:r>
          </w:p>
        </w:tc>
        <w:tc>
          <w:tcPr>
            <w:tcW w:w="18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4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37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2026</w:t>
            </w:r>
          </w:p>
        </w:tc>
        <w:tc>
          <w:tcPr>
            <w:tcW w:w="15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男士/女士体检套餐</w:t>
            </w:r>
          </w:p>
        </w:tc>
        <w:tc>
          <w:tcPr>
            <w:tcW w:w="10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3000</w:t>
            </w:r>
          </w:p>
        </w:tc>
        <w:tc>
          <w:tcPr>
            <w:tcW w:w="184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备注：按照每年平均</w:t>
            </w:r>
            <w:r>
              <w:rPr>
                <w:rFonts w:hint="eastAsia" w:ascii="仿宋_GB2312" w:hAnsi="仿宋_GB2312" w:eastAsia="仿宋_GB2312" w:cs="仿宋_GB2312"/>
                <w:sz w:val="28"/>
                <w:szCs w:val="28"/>
                <w:lang w:val="en-US" w:eastAsia="zh-CN"/>
              </w:rPr>
              <w:t>55</w:t>
            </w:r>
            <w:r>
              <w:rPr>
                <w:rFonts w:hint="eastAsia" w:ascii="仿宋_GB2312" w:hAnsi="仿宋_GB2312" w:eastAsia="仿宋_GB2312" w:cs="仿宋_GB2312"/>
                <w:sz w:val="28"/>
                <w:szCs w:val="28"/>
              </w:rPr>
              <w:t>人进行预估，连续招标3年总额不超过</w:t>
            </w:r>
            <w:r>
              <w:rPr>
                <w:rFonts w:hint="eastAsia" w:ascii="仿宋_GB2312" w:hAnsi="仿宋_GB2312" w:eastAsia="仿宋_GB2312" w:cs="仿宋_GB2312"/>
                <w:sz w:val="28"/>
                <w:szCs w:val="28"/>
                <w:lang w:val="en-US" w:eastAsia="zh-CN"/>
              </w:rPr>
              <w:t>50</w:t>
            </w:r>
            <w:r>
              <w:rPr>
                <w:rFonts w:hint="eastAsia" w:ascii="仿宋_GB2312" w:hAnsi="仿宋_GB2312" w:eastAsia="仿宋_GB2312" w:cs="仿宋_GB2312"/>
                <w:sz w:val="28"/>
                <w:szCs w:val="28"/>
              </w:rPr>
              <w:t>万元</w:t>
            </w:r>
          </w:p>
        </w:tc>
      </w:tr>
    </w:tbl>
    <w:p>
      <w:pPr>
        <w:numPr>
          <w:ilvl w:val="0"/>
          <w:numId w:val="1"/>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增值服务，例如健康档案建立、个性化报告解读、持续跟踪服务、专业健康咨询、饮食营养调理、运动健身指导、中西医护理体验、义诊服务等。</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、对</w:t>
      </w:r>
      <w:r>
        <w:rPr>
          <w:rFonts w:hint="eastAsia" w:ascii="黑体" w:hAnsi="黑体" w:eastAsia="黑体" w:cs="黑体"/>
          <w:sz w:val="32"/>
          <w:szCs w:val="32"/>
        </w:rPr>
        <w:t>医疗机构要求</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1.资质：与三甲医院有合作</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2.荣誉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至少获得市级以上荣誉三项</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3.类似项目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累积服务人次不少于1000人次/年</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4.经营制度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制度健全，内控完善</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5.消防安全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设施齐全，无安全隐患</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6.医疗团队：专职体检医护团队人数不少于10人，有相关职业资格证书</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7.住宿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优质的住宿条件，为需要自行增加项目的员工提供条件</w:t>
      </w:r>
      <w:r>
        <w:rPr>
          <w:rFonts w:ascii="仿宋_GB2312" w:hAnsi="仿宋_GB2312" w:eastAsia="仿宋_GB2312" w:cs="仿宋_GB2312"/>
          <w:sz w:val="32"/>
          <w:szCs w:val="32"/>
        </w:rPr>
        <w:t>；</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8.增值服务：能提供包括但不限于定期回访等基础服务</w:t>
      </w:r>
      <w:r>
        <w:rPr>
          <w:rFonts w:ascii="仿宋_GB2312" w:hAnsi="仿宋_GB2312" w:eastAsia="仿宋_GB2312" w:cs="仿宋_GB2312"/>
          <w:sz w:val="32"/>
          <w:szCs w:val="32"/>
        </w:rPr>
        <w:t>；</w:t>
      </w:r>
    </w:p>
    <w:p>
      <w:pPr>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不得强行推销自费项目、</w:t>
      </w:r>
      <w:r>
        <w:rPr>
          <w:rFonts w:hint="eastAsia" w:ascii="仿宋_GB2312" w:hAnsi="仿宋_GB2312" w:eastAsia="仿宋_GB2312" w:cs="仿宋_GB2312"/>
          <w:sz w:val="32"/>
          <w:szCs w:val="32"/>
        </w:rPr>
        <w:t>员工自行添加项目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员工有复查项目的需求，可按医保局要求使用医保卡。</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10.体检</w:t>
      </w:r>
      <w:r>
        <w:rPr>
          <w:rFonts w:ascii="仿宋_GB2312" w:hAnsi="仿宋_GB2312" w:eastAsia="仿宋_GB2312" w:cs="仿宋_GB2312"/>
          <w:sz w:val="32"/>
          <w:szCs w:val="32"/>
        </w:rPr>
        <w:t>发票要按照</w:t>
      </w:r>
      <w:r>
        <w:rPr>
          <w:rFonts w:hint="eastAsia" w:ascii="仿宋_GB2312" w:hAnsi="仿宋_GB2312" w:eastAsia="仿宋_GB2312" w:cs="仿宋_GB2312"/>
          <w:sz w:val="32"/>
          <w:szCs w:val="32"/>
          <w:lang w:val="en-US" w:eastAsia="zh-CN"/>
        </w:rPr>
        <w:t>国宇物产</w:t>
      </w:r>
      <w:r>
        <w:rPr>
          <w:rFonts w:hint="eastAsia" w:ascii="仿宋_GB2312" w:hAnsi="仿宋_GB2312" w:eastAsia="仿宋_GB2312" w:cs="仿宋_GB2312"/>
          <w:sz w:val="32"/>
          <w:szCs w:val="32"/>
        </w:rPr>
        <w:t>公司</w:t>
      </w:r>
      <w:r>
        <w:rPr>
          <w:rFonts w:ascii="仿宋_GB2312" w:hAnsi="仿宋_GB2312" w:eastAsia="仿宋_GB2312" w:cs="仿宋_GB2312"/>
          <w:sz w:val="32"/>
          <w:szCs w:val="32"/>
        </w:rPr>
        <w:t>的要求开具；</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11.体检</w:t>
      </w:r>
      <w:r>
        <w:rPr>
          <w:rFonts w:ascii="仿宋_GB2312" w:hAnsi="仿宋_GB2312" w:eastAsia="仿宋_GB2312" w:cs="仿宋_GB2312"/>
          <w:sz w:val="32"/>
          <w:szCs w:val="32"/>
        </w:rPr>
        <w:t>人员名单和个人信息不得外泄；</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12.体检</w:t>
      </w:r>
      <w:r>
        <w:rPr>
          <w:rFonts w:ascii="仿宋_GB2312" w:hAnsi="仿宋_GB2312" w:eastAsia="仿宋_GB2312" w:cs="仿宋_GB2312"/>
          <w:sz w:val="32"/>
          <w:szCs w:val="32"/>
        </w:rPr>
        <w:t>时间以</w:t>
      </w:r>
      <w:r>
        <w:rPr>
          <w:rFonts w:hint="eastAsia" w:ascii="仿宋_GB2312" w:hAnsi="仿宋_GB2312" w:eastAsia="仿宋_GB2312" w:cs="仿宋_GB2312"/>
          <w:sz w:val="32"/>
          <w:szCs w:val="32"/>
          <w:lang w:val="en-US" w:eastAsia="zh-CN"/>
        </w:rPr>
        <w:t>国宇物产</w:t>
      </w:r>
      <w:r>
        <w:rPr>
          <w:rFonts w:hint="eastAsia" w:ascii="仿宋_GB2312" w:hAnsi="仿宋_GB2312" w:eastAsia="仿宋_GB2312" w:cs="仿宋_GB2312"/>
          <w:sz w:val="32"/>
          <w:szCs w:val="32"/>
        </w:rPr>
        <w:t>公司员工自行选定时间为准</w:t>
      </w:r>
      <w:r>
        <w:rPr>
          <w:rFonts w:ascii="仿宋_GB2312" w:hAnsi="仿宋_GB2312" w:eastAsia="仿宋_GB2312" w:cs="仿宋_GB2312"/>
          <w:sz w:val="32"/>
          <w:szCs w:val="32"/>
        </w:rPr>
        <w:t>，不得以时间更改为由调整价格。</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四、磋商响应截止时间和地点</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1.磋商响应方应于</w:t>
      </w:r>
      <w:r>
        <w:rPr>
          <w:rFonts w:hint="eastAsia" w:ascii="仿宋_GB2312" w:hAnsi="仿宋_GB2312" w:eastAsia="仿宋_GB2312" w:cs="仿宋_GB2312"/>
          <w:color w:val="auto"/>
          <w:sz w:val="32"/>
          <w:szCs w:val="32"/>
          <w:u w:val="single"/>
        </w:rPr>
        <w:t>2024年</w:t>
      </w:r>
      <w:r>
        <w:rPr>
          <w:rFonts w:hint="eastAsia" w:ascii="仿宋_GB2312" w:hAnsi="仿宋_GB2312" w:eastAsia="仿宋_GB2312" w:cs="仿宋_GB2312"/>
          <w:color w:val="auto"/>
          <w:sz w:val="32"/>
          <w:szCs w:val="32"/>
          <w:u w:val="single"/>
          <w:lang w:val="en-US" w:eastAsia="zh-CN"/>
        </w:rPr>
        <w:t>09</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u w:val="single"/>
        </w:rPr>
        <w:t>日</w:t>
      </w:r>
      <w:r>
        <w:rPr>
          <w:rFonts w:hint="eastAsia" w:ascii="仿宋_GB2312" w:hAnsi="仿宋_GB2312" w:eastAsia="仿宋_GB2312" w:cs="仿宋_GB2312"/>
          <w:color w:val="auto"/>
          <w:sz w:val="32"/>
          <w:szCs w:val="32"/>
          <w:u w:val="single"/>
          <w:lang w:val="en-US" w:eastAsia="zh-CN"/>
        </w:rPr>
        <w:t>14</w:t>
      </w:r>
      <w:r>
        <w:rPr>
          <w:rFonts w:hint="eastAsia" w:ascii="仿宋_GB2312" w:hAnsi="仿宋_GB2312" w:eastAsia="仿宋_GB2312" w:cs="仿宋_GB2312"/>
          <w:color w:val="auto"/>
          <w:sz w:val="32"/>
          <w:szCs w:val="32"/>
          <w:u w:val="single"/>
        </w:rPr>
        <w:t>:00</w:t>
      </w:r>
      <w:r>
        <w:rPr>
          <w:rFonts w:hint="eastAsia" w:ascii="仿宋_GB2312" w:hAnsi="仿宋_GB2312" w:eastAsia="仿宋_GB2312" w:cs="仿宋_GB2312"/>
          <w:sz w:val="32"/>
          <w:szCs w:val="32"/>
        </w:rPr>
        <w:t>前将磋商响应文件密封送交到</w:t>
      </w:r>
      <w:r>
        <w:rPr>
          <w:rFonts w:hint="eastAsia" w:ascii="仿宋_GB2312" w:hAnsi="仿宋_GB2312" w:eastAsia="仿宋_GB2312" w:cs="仿宋_GB2312"/>
          <w:sz w:val="32"/>
          <w:szCs w:val="32"/>
          <w:lang w:val="en-US" w:eastAsia="zh-CN"/>
        </w:rPr>
        <w:t>国有资本投资</w:t>
      </w:r>
      <w:r>
        <w:rPr>
          <w:rFonts w:hint="eastAsia" w:ascii="仿宋_GB2312" w:hAnsi="仿宋_GB2312" w:eastAsia="仿宋_GB2312" w:cs="仿宋_GB2312"/>
          <w:sz w:val="32"/>
          <w:szCs w:val="32"/>
        </w:rPr>
        <w:t>大厦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楼会议室逾期送达或未密封为无效文件，将予以拒收。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2.响应文件全部送达后，即举行磋商，磋商响应方须派全权代表出席，并同时递交符合附件要求的授权委托书及身份证明。</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、其他要求</w:t>
      </w:r>
    </w:p>
    <w:p>
      <w:pPr>
        <w:spacing w:line="360" w:lineRule="auto"/>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凡出现下列情况，</w:t>
      </w:r>
      <w:r>
        <w:rPr>
          <w:rFonts w:hint="eastAsia" w:ascii="仿宋_GB2312" w:hAnsi="仿宋_GB2312" w:eastAsia="仿宋_GB2312" w:cs="仿宋_GB2312"/>
          <w:sz w:val="32"/>
          <w:szCs w:val="32"/>
        </w:rPr>
        <w:t>磋商委员会</w:t>
      </w:r>
      <w:r>
        <w:rPr>
          <w:rFonts w:ascii="仿宋_GB2312" w:hAnsi="仿宋_GB2312" w:eastAsia="仿宋_GB2312" w:cs="仿宋_GB2312"/>
          <w:sz w:val="32"/>
          <w:szCs w:val="32"/>
        </w:rPr>
        <w:t>将综合评估，将视情况取消中选的服务单位的入围资格，终止合同。</w:t>
      </w:r>
    </w:p>
    <w:p>
      <w:pPr>
        <w:spacing w:line="360" w:lineRule="auto"/>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服务期间发生安全事故的；</w:t>
      </w:r>
    </w:p>
    <w:p>
      <w:pPr>
        <w:spacing w:line="360" w:lineRule="auto"/>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信用记录不良，发生法律诉讼的；</w:t>
      </w:r>
    </w:p>
    <w:p>
      <w:pPr>
        <w:spacing w:line="360" w:lineRule="auto"/>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发生消费投诉，受到市级以上主管部门处罚的；</w:t>
      </w:r>
    </w:p>
    <w:p>
      <w:pPr>
        <w:spacing w:line="360" w:lineRule="auto"/>
        <w:ind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本项目谢绝联合体投标，中选后不允许分包、转包。</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六、业务咨询</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采购人联系人：</w:t>
      </w:r>
      <w:r>
        <w:rPr>
          <w:rFonts w:hint="eastAsia" w:ascii="仿宋_GB2312" w:hAnsi="仿宋_GB2312" w:eastAsia="仿宋_GB2312" w:cs="仿宋_GB2312"/>
          <w:sz w:val="32"/>
          <w:szCs w:val="32"/>
          <w:lang w:val="en-US" w:eastAsia="zh-CN"/>
        </w:rPr>
        <w:t>程</w:t>
      </w:r>
      <w:r>
        <w:rPr>
          <w:rFonts w:hint="eastAsia" w:ascii="仿宋_GB2312" w:hAnsi="仿宋_GB2312" w:eastAsia="仿宋_GB2312" w:cs="仿宋_GB2312"/>
          <w:sz w:val="32"/>
          <w:szCs w:val="32"/>
        </w:rPr>
        <w:t xml:space="preserve">女士         </w:t>
      </w:r>
    </w:p>
    <w:p>
      <w:pPr>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85097619</w:t>
      </w: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p>
    <w:p>
      <w:pPr>
        <w:pStyle w:val="2"/>
        <w:rPr>
          <w:lang w:val="en-US"/>
        </w:rPr>
      </w:pP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rPr>
          <w:rFonts w:ascii="仿宋_GB2312" w:hAnsi="仿宋_GB2312" w:eastAsia="仿宋_GB2312" w:cs="仿宋_GB2312"/>
          <w:sz w:val="32"/>
          <w:szCs w:val="32"/>
        </w:rPr>
      </w:pPr>
    </w:p>
    <w:p>
      <w:pPr>
        <w:pStyle w:val="2"/>
      </w:pPr>
    </w:p>
    <w:p>
      <w:pPr>
        <w:spacing w:line="360" w:lineRule="auto"/>
        <w:ind w:firstLine="640" w:firstLineChars="200"/>
        <w:jc w:val="left"/>
        <w:rPr>
          <w:rFonts w:ascii="仿宋_GB2312" w:hAnsi="仿宋_GB2312" w:eastAsia="仿宋_GB2312" w:cs="仿宋_GB2312"/>
          <w:sz w:val="32"/>
          <w:szCs w:val="32"/>
        </w:rPr>
      </w:pPr>
    </w:p>
    <w:p>
      <w:pPr>
        <w:spacing w:line="360" w:lineRule="auto"/>
        <w:jc w:val="center"/>
        <w:outlineLvl w:val="0"/>
        <w:rPr>
          <w:rFonts w:ascii="仿宋_GB2312" w:hAnsi="仿宋_GB2312" w:eastAsia="仿宋_GB2312" w:cs="仿宋_GB2312"/>
          <w:sz w:val="32"/>
          <w:szCs w:val="32"/>
        </w:rPr>
      </w:pPr>
      <w:r>
        <w:rPr>
          <w:rFonts w:hint="eastAsia" w:ascii="黑体" w:hAnsi="黑体" w:eastAsia="黑体" w:cs="黑体"/>
          <w:sz w:val="32"/>
          <w:szCs w:val="32"/>
        </w:rPr>
        <w:t>第二部分  磋商响应方须知</w:t>
      </w:r>
    </w:p>
    <w:p>
      <w:pPr>
        <w:spacing w:line="360" w:lineRule="auto"/>
        <w:ind w:firstLine="645"/>
        <w:rPr>
          <w:rFonts w:ascii="黑体" w:hAnsi="黑体" w:eastAsia="黑体" w:cs="仿宋_GB2312"/>
          <w:sz w:val="32"/>
          <w:szCs w:val="32"/>
        </w:rPr>
      </w:pPr>
    </w:p>
    <w:p>
      <w:pPr>
        <w:spacing w:line="360" w:lineRule="auto"/>
        <w:ind w:firstLine="645"/>
        <w:outlineLvl w:val="1"/>
        <w:rPr>
          <w:rFonts w:ascii="黑体" w:hAnsi="黑体" w:eastAsia="黑体" w:cs="仿宋_GB2312"/>
          <w:sz w:val="32"/>
          <w:szCs w:val="32"/>
        </w:rPr>
      </w:pPr>
      <w:bookmarkStart w:id="0" w:name="_Toc476820368"/>
      <w:bookmarkStart w:id="1" w:name="_Toc477958230"/>
      <w:r>
        <w:rPr>
          <w:rFonts w:hint="eastAsia" w:ascii="黑体" w:hAnsi="黑体" w:eastAsia="黑体" w:cs="仿宋_GB2312"/>
          <w:sz w:val="32"/>
          <w:szCs w:val="32"/>
        </w:rPr>
        <w:t>一、磋商原则</w:t>
      </w:r>
      <w:bookmarkEnd w:id="0"/>
      <w:bookmarkEnd w:id="1"/>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1.磋商委员会必须公平、公正、客观，不带任何倾向性和启发性；任何单位和个人不得干扰、影响磋商的正常进行；磋商委员会及有关工作人员不得私下与磋商响应方接触。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2.磋商委员会应当按照响应文件质量和服务均能满足采购文件实质性要求且综合评分最高的原则确定本次采购对象。</w:t>
      </w:r>
    </w:p>
    <w:p>
      <w:pPr>
        <w:spacing w:line="360" w:lineRule="auto"/>
        <w:ind w:firstLine="645"/>
        <w:rPr>
          <w:rFonts w:ascii="黑体" w:hAnsi="黑体" w:eastAsia="黑体" w:cs="仿宋_GB2312"/>
          <w:sz w:val="32"/>
          <w:szCs w:val="32"/>
        </w:rPr>
      </w:pPr>
    </w:p>
    <w:p>
      <w:pPr>
        <w:spacing w:line="360" w:lineRule="auto"/>
        <w:ind w:firstLine="645"/>
        <w:outlineLvl w:val="1"/>
        <w:rPr>
          <w:rFonts w:ascii="黑体" w:hAnsi="黑体" w:eastAsia="黑体" w:cs="仿宋_GB2312"/>
          <w:sz w:val="32"/>
          <w:szCs w:val="32"/>
        </w:rPr>
      </w:pPr>
      <w:r>
        <w:rPr>
          <w:rFonts w:hint="eastAsia" w:ascii="黑体" w:hAnsi="黑体" w:eastAsia="黑体" w:cs="仿宋_GB2312"/>
          <w:sz w:val="32"/>
          <w:szCs w:val="32"/>
        </w:rPr>
        <w:t>二、对</w:t>
      </w:r>
      <w:r>
        <w:rPr>
          <w:rFonts w:hint="eastAsia" w:ascii="黑体" w:hAnsi="黑体" w:eastAsia="黑体" w:cs="黑体"/>
          <w:sz w:val="32"/>
          <w:szCs w:val="32"/>
        </w:rPr>
        <w:t>磋商响应方</w:t>
      </w:r>
      <w:r>
        <w:rPr>
          <w:rFonts w:hint="eastAsia" w:ascii="黑体" w:hAnsi="黑体" w:eastAsia="黑体" w:cs="仿宋_GB2312"/>
          <w:sz w:val="32"/>
          <w:szCs w:val="32"/>
        </w:rPr>
        <w:t>的资格要求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5.参加采购活动前三年内，在经营活动中没有重大违法记录；</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6.单位负责人为同一人或者存在直接控股、管理关系的不同服务单位，不得参加同一合同项下的采购活动；</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7.服务单位未被列入失信被执行人名单、重大税收违法案件当事人名单、政府采购严重违法失信行为记录名单，信用信息以信用中国网站（www.creditchina.gov.cn）、中国政府采购网（www.ccgp.gov.cn）公布为准；</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8.具备有效的《医疗机构执业许可证》。</w:t>
      </w:r>
    </w:p>
    <w:p>
      <w:pPr>
        <w:spacing w:line="360" w:lineRule="auto"/>
        <w:ind w:firstLine="640" w:firstLineChars="200"/>
        <w:rPr>
          <w:rFonts w:ascii="黑体" w:hAnsi="黑体" w:eastAsia="黑体"/>
          <w:sz w:val="32"/>
          <w:szCs w:val="32"/>
        </w:rPr>
      </w:pPr>
    </w:p>
    <w:p>
      <w:pPr>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三、磋商文件组成要求</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1.法定代表人（单位负责人）授权书（原件）；</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2.被授权人身份证（原件和复印件）；</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3.有效的营业执照副本（或法人证书）等复印件（复印件加盖单位公章）；</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4.参加采购活动前3年内在经营活动中没有重大违法记录的声明函；</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5.具有履行合同所必需的设备和专业技术能力的承诺函；</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6.有效的《医疗机构执业许可证》（证明材料提供复印件，加盖公章）；</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7.体检方案：内容包含公司简介、套餐、增值服务及报价等。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上述材料格式自拟，1-7项均需加盖单位公章，如发现虚假资料，参选人承担由此产生的一切后果，公司有权单方面终止合同及要求参选人赔偿由此产生的损失。</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四、磋商响应方的认可</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1.磋商响应方一旦递交投标文件，将被视为已经充分理解招标文件的全部内容。</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2.磋商响应方一旦中标，其所承诺的内容，即成为双方签订合同的组成部分，不得以任何理由提出附加条件。磋商响应方与任何人口头协议均不影响投标文件的条款的内容。</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五、遴选形式</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参选单位现场方案讲解、评委提问、答辩、评委打分，每个单位5分钟。</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六、发布磋商公告的媒介</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本次公告在</w:t>
      </w:r>
      <w:r>
        <w:rPr>
          <w:rFonts w:hint="eastAsia" w:ascii="仿宋_GB2312" w:hAnsi="仿宋_GB2312" w:eastAsia="仿宋_GB2312" w:cs="仿宋_GB2312"/>
          <w:sz w:val="32"/>
          <w:szCs w:val="32"/>
          <w:lang w:val="en-US" w:eastAsia="zh-CN"/>
        </w:rPr>
        <w:t>国宇物产</w:t>
      </w:r>
      <w:r>
        <w:rPr>
          <w:rFonts w:hint="eastAsia" w:ascii="仿宋_GB2312" w:hAnsi="仿宋_GB2312" w:eastAsia="仿宋_GB2312" w:cs="仿宋_GB2312"/>
          <w:sz w:val="32"/>
          <w:szCs w:val="32"/>
        </w:rPr>
        <w:t>官网（http://www.hzgywc.com/）上发布，其他网址转载无效。</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七、获取采购文件</w:t>
      </w:r>
    </w:p>
    <w:p>
      <w:pPr>
        <w:spacing w:line="360" w:lineRule="auto"/>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1.获取采购文件时间：</w:t>
      </w:r>
      <w:r>
        <w:rPr>
          <w:rFonts w:hint="eastAsia" w:ascii="仿宋_GB2312" w:hAnsi="仿宋_GB2312" w:eastAsia="仿宋_GB2312" w:cs="仿宋_GB2312"/>
          <w:color w:val="auto"/>
          <w:sz w:val="32"/>
          <w:szCs w:val="32"/>
          <w:u w:val="single"/>
        </w:rPr>
        <w:t>2024年0</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20</w:t>
      </w:r>
      <w:r>
        <w:rPr>
          <w:rFonts w:hint="eastAsia" w:ascii="仿宋_GB2312" w:hAnsi="仿宋_GB2312" w:eastAsia="仿宋_GB2312" w:cs="仿宋_GB2312"/>
          <w:color w:val="auto"/>
          <w:sz w:val="32"/>
          <w:szCs w:val="32"/>
          <w:u w:val="single"/>
        </w:rPr>
        <w:t>日--2024年0</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u w:val="single"/>
        </w:rPr>
        <w:t>日，截止时间2024年0</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u w:val="single"/>
        </w:rPr>
        <w:t>日1</w:t>
      </w:r>
      <w:r>
        <w:rPr>
          <w:rFonts w:hint="eastAsia" w:ascii="仿宋_GB2312" w:hAnsi="仿宋_GB2312" w:eastAsia="仿宋_GB2312" w:cs="仿宋_GB2312"/>
          <w:color w:val="auto"/>
          <w:sz w:val="32"/>
          <w:szCs w:val="32"/>
          <w:u w:val="single"/>
          <w:lang w:val="en-US" w:eastAsia="zh-CN"/>
        </w:rPr>
        <w:t>4</w:t>
      </w:r>
      <w:r>
        <w:rPr>
          <w:rFonts w:hint="eastAsia" w:ascii="仿宋_GB2312" w:hAnsi="仿宋_GB2312" w:eastAsia="仿宋_GB2312" w:cs="仿宋_GB2312"/>
          <w:color w:val="auto"/>
          <w:sz w:val="32"/>
          <w:szCs w:val="32"/>
          <w:u w:val="single"/>
        </w:rPr>
        <w:t>：00。</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2.获取采购文件方式：通过</w:t>
      </w:r>
      <w:r>
        <w:rPr>
          <w:rFonts w:hint="eastAsia" w:ascii="仿宋_GB2312" w:hAnsi="仿宋_GB2312" w:eastAsia="仿宋_GB2312" w:cs="仿宋_GB2312"/>
          <w:sz w:val="32"/>
          <w:szCs w:val="32"/>
          <w:lang w:val="en-US" w:eastAsia="zh-CN"/>
        </w:rPr>
        <w:t>国宇物产</w:t>
      </w:r>
      <w:r>
        <w:rPr>
          <w:rFonts w:hint="eastAsia" w:ascii="仿宋_GB2312" w:hAnsi="仿宋_GB2312" w:eastAsia="仿宋_GB2312" w:cs="仿宋_GB2312"/>
          <w:sz w:val="32"/>
          <w:szCs w:val="32"/>
        </w:rPr>
        <w:t>官网公告获取或现场获取。</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3.现场获取采购文件地址：杭州市上城区庆春东路68号</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程</w:t>
      </w:r>
      <w:r>
        <w:rPr>
          <w:rFonts w:hint="eastAsia" w:ascii="仿宋_GB2312" w:hAnsi="仿宋_GB2312" w:eastAsia="仿宋_GB2312" w:cs="仿宋_GB2312"/>
          <w:sz w:val="32"/>
          <w:szCs w:val="32"/>
        </w:rPr>
        <w:t>女士，电话：</w:t>
      </w:r>
      <w:r>
        <w:rPr>
          <w:rFonts w:hint="eastAsia" w:ascii="仿宋_GB2312" w:hAnsi="仿宋_GB2312" w:eastAsia="仿宋_GB2312" w:cs="仿宋_GB2312"/>
          <w:sz w:val="32"/>
          <w:szCs w:val="32"/>
          <w:lang w:val="en-US" w:eastAsia="zh-CN"/>
        </w:rPr>
        <w:t>15658100852</w:t>
      </w:r>
      <w:r>
        <w:rPr>
          <w:rFonts w:hint="eastAsia" w:ascii="仿宋_GB2312" w:hAnsi="仿宋_GB2312" w:eastAsia="仿宋_GB2312" w:cs="仿宋_GB2312"/>
          <w:sz w:val="32"/>
          <w:szCs w:val="32"/>
        </w:rPr>
        <w:t>。</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八、磋商时间和地点</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1.磋商响应方必须于</w:t>
      </w:r>
      <w:r>
        <w:rPr>
          <w:rFonts w:hint="eastAsia" w:ascii="仿宋_GB2312" w:hAnsi="仿宋_GB2312" w:eastAsia="仿宋_GB2312" w:cs="仿宋_GB2312"/>
          <w:color w:val="auto"/>
          <w:sz w:val="32"/>
          <w:szCs w:val="32"/>
          <w:u w:val="single"/>
        </w:rPr>
        <w:t>2024年</w:t>
      </w:r>
      <w:r>
        <w:rPr>
          <w:rFonts w:hint="eastAsia" w:ascii="仿宋_GB2312" w:hAnsi="仿宋_GB2312" w:eastAsia="仿宋_GB2312" w:cs="仿宋_GB2312"/>
          <w:color w:val="auto"/>
          <w:sz w:val="32"/>
          <w:szCs w:val="32"/>
          <w:u w:val="single"/>
          <w:lang w:val="en-US" w:eastAsia="zh-CN"/>
        </w:rPr>
        <w:t>09</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26</w:t>
      </w:r>
      <w:r>
        <w:rPr>
          <w:rFonts w:hint="eastAsia" w:ascii="仿宋_GB2312" w:hAnsi="仿宋_GB2312" w:eastAsia="仿宋_GB2312" w:cs="仿宋_GB2312"/>
          <w:color w:val="auto"/>
          <w:sz w:val="32"/>
          <w:szCs w:val="32"/>
          <w:u w:val="single"/>
        </w:rPr>
        <w:t>日14:00</w:t>
      </w:r>
      <w:r>
        <w:rPr>
          <w:rFonts w:hint="eastAsia" w:ascii="仿宋_GB2312" w:hAnsi="仿宋_GB2312" w:eastAsia="仿宋_GB2312" w:cs="仿宋_GB2312"/>
          <w:sz w:val="32"/>
          <w:szCs w:val="32"/>
        </w:rPr>
        <w:t>前到达杭州市国有资本投资大厦</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楼会议室签到、提交磋商文件，等候磋商，所有投标文件必须加盖投标方公章密封，无密封口及密封口处无盖章的标底均作为废标处理。</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2.对由采购方通知延长投标截止时间的，投标文件递交截止时间以延长后的日期为准。</w:t>
      </w:r>
    </w:p>
    <w:p>
      <w:pPr>
        <w:spacing w:line="360" w:lineRule="auto"/>
        <w:ind w:firstLine="640" w:firstLineChars="200"/>
        <w:jc w:val="left"/>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九、采购工作小组和磋商委员会</w:t>
      </w:r>
    </w:p>
    <w:p>
      <w:pPr>
        <w:pStyle w:val="2"/>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1.采购方将组建专门的工作小组和磋商委员会，负责对所有的投标文件进行公正、合理的审查及评审工作。</w:t>
      </w:r>
    </w:p>
    <w:p>
      <w:pPr>
        <w:pStyle w:val="2"/>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2.磋商委员会由采购人代表1人和评审专家4人组成。</w:t>
      </w:r>
    </w:p>
    <w:p>
      <w:pPr>
        <w:spacing w:line="360" w:lineRule="auto"/>
        <w:ind w:firstLine="640" w:firstLineChars="200"/>
        <w:jc w:val="left"/>
        <w:outlineLvl w:val="1"/>
        <w:rPr>
          <w:rFonts w:ascii="黑体" w:hAnsi="黑体" w:eastAsia="黑体" w:cs="黑体"/>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十、磋商流程</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采购方组织磋商委员会与各磋商响应方分别进行磋商。磋商响应方的法定代表人或其授权委托代理人必须持证件（委托代理人持授权委托书及本人身份证）准时到达现场等候参加磋商，并自觉接受核验上述证件。</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2.主持人宣布磋商纪律，公布在磋商响应截止时间前递交磋商文件的磋商响应人名称，检查相关材料密封性。</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3.现场抽签并宣布磋商顺序。</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按顺序进行磋商，清点磋商响应文件正、副本数量。数量符合采购文件要求的进行磋商；数量不符合要求的，当场退还磋商响应方，并由磋商响应方代表签名确认。公布磋商响应方名称及其他内容，并记录在案。</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5.磋商响应方代表、采购人代表等有关人员在开标记录上签字确认；未在磋商记录上签字的，均视为对开标结果予以默认；</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6.磋商委员会在磋商响应文件符合资格要求的单位中，进行综合评分，评分最高者选取为供应商。并告知其他磋商响应方。</w:t>
      </w:r>
    </w:p>
    <w:p>
      <w:pPr>
        <w:spacing w:line="360" w:lineRule="auto"/>
        <w:ind w:firstLine="640" w:firstLineChars="200"/>
        <w:jc w:val="left"/>
        <w:rPr>
          <w:rFonts w:ascii="仿宋_GB2312" w:hAnsi="仿宋_GB2312" w:eastAsia="仿宋_GB2312" w:cs="仿宋_GB2312"/>
          <w:sz w:val="32"/>
          <w:szCs w:val="32"/>
        </w:rPr>
      </w:pPr>
    </w:p>
    <w:p>
      <w:p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十一、磋商结果</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1.本次磋商将遵循综合评估法磋商，具体评分标准见第三部分磋商细则。</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2.磋商响应方理解采购方不以最低投标价为中标价的唯一选择。</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3.本项目拟合计产生1家中标单位，根据投标单位综合得分排名从高到低依次入围。</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4.结果通过</w:t>
      </w:r>
      <w:r>
        <w:rPr>
          <w:rFonts w:hint="eastAsia" w:ascii="仿宋_GB2312" w:hAnsi="仿宋_GB2312" w:eastAsia="仿宋_GB2312" w:cs="仿宋_GB2312"/>
          <w:sz w:val="32"/>
          <w:szCs w:val="32"/>
          <w:lang w:val="en-US" w:eastAsia="zh-CN"/>
        </w:rPr>
        <w:t>国宇物产</w:t>
      </w:r>
      <w:r>
        <w:rPr>
          <w:rFonts w:hint="eastAsia" w:ascii="仿宋_GB2312" w:hAnsi="仿宋_GB2312" w:eastAsia="仿宋_GB2312" w:cs="仿宋_GB2312"/>
          <w:sz w:val="32"/>
          <w:szCs w:val="32"/>
        </w:rPr>
        <w:t>官网公示三天。</w:t>
      </w:r>
    </w:p>
    <w:p>
      <w:pPr>
        <w:spacing w:line="400" w:lineRule="exact"/>
        <w:ind w:firstLine="480" w:firstLineChars="200"/>
        <w:rPr>
          <w:rFonts w:ascii="宋体" w:hAnsi="宋体" w:cs="宋体"/>
          <w:sz w:val="24"/>
        </w:rPr>
      </w:pPr>
    </w:p>
    <w:p>
      <w:pPr>
        <w:spacing w:line="360" w:lineRule="auto"/>
        <w:ind w:firstLine="640" w:firstLineChars="200"/>
        <w:jc w:val="left"/>
        <w:outlineLvl w:val="1"/>
        <w:rPr>
          <w:rFonts w:ascii="黑体" w:hAnsi="黑体" w:eastAsia="黑体" w:cs="黑体"/>
          <w:sz w:val="32"/>
          <w:szCs w:val="32"/>
        </w:rPr>
      </w:pPr>
      <w:bookmarkStart w:id="2" w:name="_Toc392701492"/>
      <w:bookmarkStart w:id="3" w:name="_Toc477958231"/>
      <w:bookmarkStart w:id="4" w:name="_Toc476820369"/>
      <w:r>
        <w:rPr>
          <w:rFonts w:hint="eastAsia" w:ascii="黑体" w:hAnsi="黑体" w:eastAsia="黑体" w:cs="黑体"/>
          <w:sz w:val="32"/>
          <w:szCs w:val="32"/>
        </w:rPr>
        <w:t>十一、签订合同</w:t>
      </w:r>
      <w:bookmarkEnd w:id="2"/>
      <w:bookmarkEnd w:id="3"/>
      <w:bookmarkEnd w:id="4"/>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采购人应当在磋商委员会确定采购对象之日起30日内尽快签订合同。</w:t>
      </w:r>
    </w:p>
    <w:p>
      <w:pPr>
        <w:spacing w:line="400" w:lineRule="exact"/>
        <w:ind w:firstLine="480" w:firstLineChars="200"/>
        <w:rPr>
          <w:rFonts w:ascii="宋体" w:hAnsi="宋体" w:cs="宋体"/>
          <w:sz w:val="24"/>
        </w:rPr>
      </w:pPr>
    </w:p>
    <w:p>
      <w:pPr>
        <w:spacing w:line="360" w:lineRule="auto"/>
        <w:ind w:firstLine="640" w:firstLineChars="200"/>
        <w:jc w:val="left"/>
        <w:outlineLvl w:val="1"/>
        <w:rPr>
          <w:rFonts w:ascii="黑体" w:hAnsi="黑体" w:eastAsia="黑体" w:cs="黑体"/>
          <w:sz w:val="32"/>
          <w:szCs w:val="32"/>
        </w:rPr>
      </w:pPr>
      <w:bookmarkStart w:id="5" w:name="_Toc477958232"/>
      <w:bookmarkStart w:id="6" w:name="_Toc476820370"/>
      <w:r>
        <w:rPr>
          <w:rFonts w:hint="eastAsia" w:ascii="黑体" w:hAnsi="黑体" w:eastAsia="黑体" w:cs="黑体"/>
          <w:sz w:val="32"/>
          <w:szCs w:val="32"/>
        </w:rPr>
        <w:t>十二、费用结算</w:t>
      </w:r>
      <w:bookmarkEnd w:id="5"/>
      <w:bookmarkEnd w:id="6"/>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费用根据合同相关条款支付。</w:t>
      </w:r>
    </w:p>
    <w:p>
      <w:pPr>
        <w:spacing w:line="360" w:lineRule="auto"/>
        <w:jc w:val="center"/>
        <w:outlineLvl w:val="0"/>
        <w:rPr>
          <w:rFonts w:ascii="黑体" w:hAnsi="黑体" w:eastAsia="黑体" w:cs="黑体"/>
          <w:sz w:val="32"/>
          <w:szCs w:val="32"/>
        </w:rPr>
      </w:pPr>
      <w:r>
        <w:rPr>
          <w:rFonts w:hint="eastAsia" w:ascii="黑体" w:hAnsi="黑体" w:eastAsia="黑体" w:cs="黑体"/>
          <w:sz w:val="32"/>
          <w:szCs w:val="32"/>
        </w:rPr>
        <w:t>第三部分  磋商细则</w:t>
      </w:r>
    </w:p>
    <w:p>
      <w:pPr>
        <w:spacing w:line="360" w:lineRule="auto"/>
        <w:jc w:val="center"/>
        <w:rPr>
          <w:rFonts w:ascii="黑体" w:hAnsi="黑体" w:eastAsia="黑体" w:cs="黑体"/>
          <w:sz w:val="32"/>
          <w:szCs w:val="32"/>
        </w:rPr>
      </w:pPr>
    </w:p>
    <w:p>
      <w:pPr>
        <w:spacing w:line="360" w:lineRule="auto"/>
        <w:ind w:firstLine="640" w:firstLineChars="200"/>
        <w:jc w:val="left"/>
        <w:outlineLvl w:val="1"/>
        <w:rPr>
          <w:rFonts w:ascii="黑体" w:hAnsi="黑体" w:eastAsia="黑体" w:cs="黑体"/>
          <w:bCs/>
          <w:sz w:val="32"/>
          <w:szCs w:val="32"/>
        </w:rPr>
      </w:pPr>
      <w:r>
        <w:rPr>
          <w:rFonts w:hint="eastAsia" w:ascii="黑体" w:hAnsi="黑体" w:eastAsia="黑体" w:cs="黑体"/>
          <w:bCs/>
          <w:sz w:val="32"/>
          <w:szCs w:val="32"/>
        </w:rPr>
        <w:t>一、体检套餐要求</w:t>
      </w:r>
    </w:p>
    <w:p>
      <w:pPr>
        <w:pStyle w:val="14"/>
        <w:spacing w:before="0"/>
        <w:ind w:firstLine="640"/>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1.针对不同年龄和性别提供不同的体检套餐选项。</w:t>
      </w:r>
    </w:p>
    <w:p>
      <w:pPr>
        <w:pStyle w:val="14"/>
        <w:spacing w:before="0"/>
        <w:ind w:firstLine="640"/>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2.常规体检项目：</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（1）体格检查：身高、体重、BMI（身体质量指数）；血压、脉搏、呼吸频率；五官检查（眼、耳、鼻、喉）</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（2）血液检查：血常规（血红蛋白、白细胞计数、血小板计数等）；尿常规；肝功能、肾功能；血脂（胆固醇、甘油三酯等）；血糖；肿瘤标志物（针对特定癌症风险）</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（3）影像检查：心电图（ECG）；胸部X光或CT（针对年龄较大或存在呼吸道症状者）；腹部B超（肝、胆、胰、脾、肾等）；骨密度检查（针对中老年人群）</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（4）专项检查：心血管系统、内分泌系统、呼吸系统、消化系统、生殖系统等专项检查。</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（5）特殊需求：根据客户提供的家族病史，增加相应的检查项目。</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（6）个人病史：根据客户已有的疾病或健康问题，定制个性化的体检套餐。</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（7）生活习惯和工作环境：针对长期吸烟、饮酒、熬夜等不良生活习惯，以及从事特定职业的人群，增加相应的检查项目。</w:t>
      </w:r>
    </w:p>
    <w:p>
      <w:pPr>
        <w:pStyle w:val="14"/>
        <w:spacing w:before="0"/>
        <w:ind w:firstLine="640"/>
        <w:rPr>
          <w:rFonts w:ascii="黑体" w:hAnsi="黑体" w:eastAsia="黑体" w:cs="黑体"/>
          <w:bCs/>
          <w:sz w:val="32"/>
          <w:szCs w:val="32"/>
        </w:rPr>
      </w:pPr>
    </w:p>
    <w:p>
      <w:pPr>
        <w:pStyle w:val="14"/>
        <w:spacing w:before="0"/>
        <w:ind w:firstLine="640"/>
        <w:outlineLvl w:val="1"/>
        <w:rPr>
          <w:rFonts w:ascii="黑体" w:hAnsi="黑体" w:eastAsia="黑体" w:cs="黑体"/>
          <w:bCs/>
          <w:sz w:val="32"/>
          <w:szCs w:val="32"/>
        </w:rPr>
      </w:pPr>
      <w:r>
        <w:rPr>
          <w:rFonts w:hint="eastAsia" w:ascii="黑体" w:hAnsi="黑体" w:eastAsia="黑体" w:cs="黑体"/>
          <w:bCs/>
          <w:sz w:val="32"/>
          <w:szCs w:val="32"/>
        </w:rPr>
        <w:t>二、体检时间要求</w:t>
      </w:r>
    </w:p>
    <w:p>
      <w:pPr>
        <w:pStyle w:val="14"/>
        <w:spacing w:before="0"/>
        <w:ind w:firstLine="640"/>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1.集中体检时间安排在</w:t>
      </w:r>
      <w:r>
        <w:rPr>
          <w:rFonts w:hint="eastAsia" w:ascii="仿宋_GB2312" w:hAnsi="仿宋_GB2312" w:eastAsia="仿宋_GB2312" w:cs="仿宋_GB2312"/>
          <w:kern w:val="0"/>
          <w:sz w:val="32"/>
          <w:szCs w:val="32"/>
          <w:u w:val="single"/>
          <w:lang w:val="en-US" w:eastAsia="zh-CN"/>
        </w:rPr>
        <w:t>10</w:t>
      </w:r>
      <w:r>
        <w:rPr>
          <w:rFonts w:hint="eastAsia" w:ascii="仿宋_GB2312" w:hAnsi="仿宋_GB2312" w:eastAsia="仿宋_GB2312" w:cs="仿宋_GB2312"/>
          <w:kern w:val="0"/>
          <w:sz w:val="32"/>
          <w:szCs w:val="32"/>
          <w:u w:val="single"/>
        </w:rPr>
        <w:t>月</w:t>
      </w:r>
      <w:r>
        <w:rPr>
          <w:rFonts w:hint="eastAsia" w:ascii="仿宋_GB2312" w:hAnsi="仿宋_GB2312" w:eastAsia="仿宋_GB2312" w:cs="仿宋_GB2312"/>
          <w:kern w:val="0"/>
          <w:sz w:val="32"/>
          <w:szCs w:val="32"/>
        </w:rPr>
        <w:t>，分批次体检。</w:t>
      </w:r>
    </w:p>
    <w:p>
      <w:pPr>
        <w:pStyle w:val="14"/>
        <w:spacing w:before="0"/>
        <w:ind w:firstLine="640"/>
        <w:outlineLvl w:val="2"/>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2.个别因时间或生理因素，可自选时间，一年内有效。</w:t>
      </w:r>
    </w:p>
    <w:p>
      <w:pPr>
        <w:pStyle w:val="14"/>
        <w:spacing w:before="0"/>
        <w:ind w:firstLine="640"/>
        <w:rPr>
          <w:rFonts w:ascii="黑体" w:hAnsi="黑体" w:eastAsia="黑体" w:cs="黑体"/>
          <w:bCs/>
          <w:sz w:val="32"/>
          <w:szCs w:val="32"/>
        </w:rPr>
      </w:pPr>
    </w:p>
    <w:p>
      <w:pPr>
        <w:pStyle w:val="14"/>
        <w:spacing w:before="0"/>
        <w:ind w:firstLine="640"/>
        <w:outlineLvl w:val="1"/>
        <w:rPr>
          <w:rFonts w:ascii="仿宋_GB2312" w:hAnsi="仿宋_GB2312" w:eastAsia="仿宋_GB2312" w:cs="仿宋_GB2312"/>
          <w:kern w:val="0"/>
          <w:sz w:val="32"/>
          <w:szCs w:val="32"/>
        </w:rPr>
      </w:pPr>
      <w:r>
        <w:rPr>
          <w:rFonts w:hint="eastAsia" w:ascii="黑体" w:hAnsi="黑体" w:eastAsia="黑体" w:cs="黑体"/>
          <w:bCs/>
          <w:sz w:val="32"/>
          <w:szCs w:val="32"/>
        </w:rPr>
        <w:t>三、其他要求</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1.体检报告：提供详细的体检报告，包括检查结果、医生建议、健康指导等。报告应易于理解，并包含必要的医学解释和术语说明。</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2.服务质量：确保体检过程中的服务质量，包括医生的专业水平、设备的准确性、环境的舒适度等。</w:t>
      </w:r>
    </w:p>
    <w:p>
      <w:pPr>
        <w:pStyle w:val="14"/>
        <w:spacing w:before="0"/>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3.隐私保护：严格保护客户的个人隐私信息，确保体检过程和数据的安全性。</w:t>
      </w:r>
    </w:p>
    <w:p>
      <w:pPr>
        <w:pStyle w:val="14"/>
        <w:spacing w:before="0"/>
        <w:ind w:firstLine="640"/>
        <w:rPr>
          <w:rFonts w:ascii="黑体" w:hAnsi="黑体" w:eastAsia="黑体" w:cs="黑体"/>
          <w:bCs/>
          <w:sz w:val="32"/>
          <w:szCs w:val="20"/>
        </w:rPr>
      </w:pPr>
    </w:p>
    <w:p>
      <w:pPr>
        <w:pStyle w:val="14"/>
        <w:spacing w:before="0"/>
        <w:ind w:firstLine="640"/>
        <w:outlineLvl w:val="1"/>
        <w:rPr>
          <w:rFonts w:ascii="黑体" w:hAnsi="黑体" w:eastAsia="黑体" w:cs="黑体"/>
          <w:bCs/>
          <w:sz w:val="32"/>
          <w:szCs w:val="20"/>
        </w:rPr>
      </w:pPr>
      <w:r>
        <w:rPr>
          <w:rFonts w:hint="eastAsia" w:ascii="黑体" w:hAnsi="黑体" w:eastAsia="黑体" w:cs="黑体"/>
          <w:bCs/>
          <w:sz w:val="32"/>
          <w:szCs w:val="20"/>
        </w:rPr>
        <w:t>四、磋商标准</w:t>
      </w:r>
    </w:p>
    <w:tbl>
      <w:tblPr>
        <w:tblStyle w:val="11"/>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93"/>
        <w:gridCol w:w="1200"/>
        <w:gridCol w:w="3558"/>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b/>
                <w:spacing w:val="-6"/>
                <w:sz w:val="24"/>
              </w:rPr>
            </w:pPr>
            <w:r>
              <w:rPr>
                <w:rFonts w:hint="eastAsia" w:ascii="仿宋" w:hAnsi="仿宋" w:eastAsia="仿宋"/>
                <w:b/>
                <w:spacing w:val="-6"/>
                <w:sz w:val="24"/>
              </w:rPr>
              <w:t>序号</w:t>
            </w:r>
          </w:p>
        </w:tc>
        <w:tc>
          <w:tcPr>
            <w:tcW w:w="493" w:type="dxa"/>
          </w:tcPr>
          <w:p>
            <w:pPr>
              <w:adjustRightInd w:val="0"/>
              <w:snapToGrid w:val="0"/>
              <w:spacing w:line="360" w:lineRule="auto"/>
              <w:jc w:val="center"/>
              <w:rPr>
                <w:rFonts w:ascii="仿宋" w:hAnsi="仿宋" w:eastAsia="仿宋"/>
                <w:b/>
                <w:spacing w:val="-6"/>
                <w:sz w:val="24"/>
              </w:rPr>
            </w:pPr>
            <w:r>
              <w:rPr>
                <w:rFonts w:hint="eastAsia" w:ascii="仿宋" w:hAnsi="仿宋" w:eastAsia="仿宋"/>
                <w:b/>
                <w:spacing w:val="-6"/>
                <w:sz w:val="24"/>
              </w:rPr>
              <w:t>分值</w:t>
            </w:r>
          </w:p>
        </w:tc>
        <w:tc>
          <w:tcPr>
            <w:tcW w:w="1200" w:type="dxa"/>
            <w:vAlign w:val="center"/>
          </w:tcPr>
          <w:p>
            <w:pPr>
              <w:adjustRightInd w:val="0"/>
              <w:snapToGrid w:val="0"/>
              <w:spacing w:line="360" w:lineRule="auto"/>
              <w:jc w:val="center"/>
              <w:rPr>
                <w:rFonts w:ascii="仿宋" w:hAnsi="仿宋" w:eastAsia="仿宋"/>
                <w:b/>
                <w:spacing w:val="-6"/>
                <w:sz w:val="24"/>
              </w:rPr>
            </w:pPr>
            <w:r>
              <w:rPr>
                <w:rFonts w:hint="eastAsia" w:ascii="仿宋" w:hAnsi="仿宋" w:eastAsia="仿宋"/>
                <w:b/>
                <w:spacing w:val="-6"/>
                <w:sz w:val="24"/>
              </w:rPr>
              <w:t>评审因素</w:t>
            </w:r>
          </w:p>
        </w:tc>
        <w:tc>
          <w:tcPr>
            <w:tcW w:w="3558" w:type="dxa"/>
            <w:vAlign w:val="center"/>
          </w:tcPr>
          <w:p>
            <w:pPr>
              <w:pStyle w:val="15"/>
              <w:adjustRightInd w:val="0"/>
              <w:snapToGrid w:val="0"/>
              <w:ind w:firstLine="398"/>
              <w:rPr>
                <w:rFonts w:hint="default" w:ascii="仿宋" w:hAnsi="仿宋" w:eastAsia="仿宋"/>
                <w:b/>
                <w:spacing w:val="-6"/>
              </w:rPr>
            </w:pPr>
            <w:r>
              <w:rPr>
                <w:rFonts w:ascii="仿宋" w:hAnsi="仿宋" w:eastAsia="仿宋"/>
                <w:b/>
                <w:spacing w:val="-6"/>
              </w:rPr>
              <w:t>评分细则</w:t>
            </w:r>
          </w:p>
        </w:tc>
        <w:tc>
          <w:tcPr>
            <w:tcW w:w="3125" w:type="dxa"/>
            <w:vAlign w:val="center"/>
          </w:tcPr>
          <w:p>
            <w:pPr>
              <w:pStyle w:val="15"/>
              <w:adjustRightInd w:val="0"/>
              <w:snapToGrid w:val="0"/>
              <w:rPr>
                <w:rFonts w:hint="default" w:ascii="仿宋" w:hAnsi="仿宋" w:eastAsia="仿宋"/>
                <w:b/>
                <w:spacing w:val="-6"/>
              </w:rPr>
            </w:pPr>
            <w:r>
              <w:rPr>
                <w:rFonts w:hint="default" w:ascii="仿宋" w:hAnsi="仿宋" w:eastAsia="仿宋"/>
                <w:b/>
                <w:spacing w:val="-6"/>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3" w:type="dxa"/>
            <w:gridSpan w:val="5"/>
          </w:tcPr>
          <w:p>
            <w:pPr>
              <w:pStyle w:val="15"/>
              <w:adjustRightInd w:val="0"/>
              <w:snapToGrid w:val="0"/>
              <w:jc w:val="left"/>
              <w:rPr>
                <w:rFonts w:hint="default" w:ascii="仿宋" w:hAnsi="仿宋" w:eastAsia="仿宋"/>
                <w:b/>
                <w:spacing w:val="-6"/>
              </w:rPr>
            </w:pPr>
            <w:r>
              <w:rPr>
                <w:rFonts w:ascii="仿宋" w:hAnsi="仿宋" w:eastAsia="仿宋"/>
                <w:b/>
                <w:spacing w:val="-6"/>
              </w:rPr>
              <w:t>商务分（2</w:t>
            </w:r>
            <w:r>
              <w:rPr>
                <w:rFonts w:hint="default" w:ascii="仿宋" w:hAnsi="仿宋" w:eastAsia="仿宋"/>
                <w:b/>
                <w:spacing w:val="-6"/>
              </w:rPr>
              <w:t>0</w:t>
            </w:r>
            <w:r>
              <w:rPr>
                <w:rFonts w:ascii="仿宋" w:hAnsi="仿宋" w:eastAsia="仿宋"/>
                <w:b/>
                <w:spacing w:val="-6"/>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p>
        </w:tc>
        <w:tc>
          <w:tcPr>
            <w:tcW w:w="493" w:type="dxa"/>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5</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资质</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（1）投标人为省级公务员定点体检机构，或与三甲医院深度合作运营管理得</w:t>
            </w:r>
            <w:r>
              <w:rPr>
                <w:rFonts w:hint="eastAsia" w:ascii="仿宋" w:hAnsi="仿宋" w:eastAsia="仿宋"/>
                <w:spacing w:val="-6"/>
                <w:sz w:val="24"/>
                <w:lang w:val="en-US" w:eastAsia="zh-CN"/>
              </w:rPr>
              <w:t>5</w:t>
            </w:r>
            <w:r>
              <w:rPr>
                <w:rFonts w:hint="eastAsia" w:ascii="仿宋" w:hAnsi="仿宋" w:eastAsia="仿宋"/>
                <w:spacing w:val="-6"/>
                <w:sz w:val="24"/>
              </w:rPr>
              <w:t xml:space="preserve">分； </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（2）投标人为一般健康体检机构，得1分。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同时满足取最高分，不重复累计，本项目最高得</w:t>
            </w:r>
            <w:r>
              <w:rPr>
                <w:rFonts w:hint="eastAsia" w:ascii="仿宋" w:hAnsi="仿宋" w:eastAsia="仿宋"/>
                <w:spacing w:val="-6"/>
                <w:sz w:val="24"/>
                <w:lang w:val="en-US" w:eastAsia="zh-CN"/>
              </w:rPr>
              <w:t>5</w:t>
            </w:r>
            <w:r>
              <w:rPr>
                <w:rFonts w:hint="eastAsia" w:ascii="仿宋" w:hAnsi="仿宋" w:eastAsia="仿宋"/>
                <w:spacing w:val="-6"/>
                <w:sz w:val="24"/>
              </w:rPr>
              <w:t>分。</w:t>
            </w:r>
          </w:p>
        </w:tc>
        <w:tc>
          <w:tcPr>
            <w:tcW w:w="3125" w:type="dxa"/>
            <w:vAlign w:val="center"/>
          </w:tcPr>
          <w:p>
            <w:pPr>
              <w:pStyle w:val="10"/>
              <w:adjustRightInd w:val="0"/>
              <w:snapToGrid w:val="0"/>
              <w:spacing w:line="240" w:lineRule="auto"/>
              <w:ind w:firstLine="456" w:firstLineChars="200"/>
              <w:rPr>
                <w:rFonts w:ascii="仿宋" w:hAnsi="仿宋" w:eastAsia="仿宋" w:cs="宋体"/>
                <w:sz w:val="24"/>
                <w:szCs w:val="24"/>
              </w:rPr>
            </w:pPr>
            <w:r>
              <w:rPr>
                <w:rFonts w:hint="eastAsia" w:ascii="仿宋" w:hAnsi="仿宋" w:eastAsia="仿宋"/>
                <w:spacing w:val="-6"/>
                <w:sz w:val="24"/>
                <w:szCs w:val="24"/>
              </w:rPr>
              <w:t>所有机构均需提供执业许可证；各机构根据自身资质提供相关证明（如提供以健康管理为重点专业学科相关证明材料；提供深度合作等相关证明材料，深度合作指的是：参股或签署战略合作协议挂牌。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2</w:t>
            </w:r>
          </w:p>
        </w:tc>
        <w:tc>
          <w:tcPr>
            <w:tcW w:w="493" w:type="dxa"/>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荣誉/学术影响力</w:t>
            </w:r>
          </w:p>
        </w:tc>
        <w:tc>
          <w:tcPr>
            <w:tcW w:w="3558" w:type="dxa"/>
            <w:vAlign w:val="center"/>
          </w:tcPr>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2018年1月1日以来，投标人（投标人如为集团或总公司投标，由下属在杭单位提供服务的，则应按其下属实际服务单位数据为准）获得过医疗卫生、身心健康管理方面相关荣誉或具备相应学术影响力的，按以下方式计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（1）获得过省级</w:t>
            </w:r>
            <w:r>
              <w:rPr>
                <w:rFonts w:hint="eastAsia" w:ascii="仿宋" w:hAnsi="仿宋" w:eastAsia="仿宋"/>
                <w:spacing w:val="-6"/>
                <w:sz w:val="24"/>
                <w:lang w:val="en-US" w:eastAsia="zh-CN"/>
              </w:rPr>
              <w:t>以上</w:t>
            </w:r>
            <w:r>
              <w:rPr>
                <w:rFonts w:hint="eastAsia" w:ascii="仿宋" w:hAnsi="仿宋" w:eastAsia="仿宋"/>
                <w:spacing w:val="-6"/>
                <w:sz w:val="24"/>
              </w:rPr>
              <w:t>（含副省级）荣誉或获得省内知名组织、知名医疗卫生或健康管理协会组织等颁发的荣誉或学术组织称号，得2分；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w:t>
            </w:r>
            <w:r>
              <w:rPr>
                <w:rFonts w:hint="eastAsia" w:ascii="仿宋" w:hAnsi="仿宋" w:eastAsia="仿宋"/>
                <w:spacing w:val="-6"/>
                <w:sz w:val="24"/>
                <w:lang w:val="en-US" w:eastAsia="zh-CN"/>
              </w:rPr>
              <w:t>2</w:t>
            </w:r>
            <w:r>
              <w:rPr>
                <w:rFonts w:hint="eastAsia" w:ascii="仿宋" w:hAnsi="仿宋" w:eastAsia="仿宋"/>
                <w:spacing w:val="-6"/>
                <w:sz w:val="24"/>
              </w:rPr>
              <w:t>）获得过市级荣誉或获得市内知名组织、知名医疗卫生或健康管理协会组织等颁发的荣誉或学术组织称号，得1分；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w:t>
            </w:r>
            <w:r>
              <w:rPr>
                <w:rFonts w:hint="eastAsia" w:ascii="仿宋" w:hAnsi="仿宋" w:eastAsia="仿宋"/>
                <w:spacing w:val="-6"/>
                <w:sz w:val="24"/>
                <w:lang w:val="en-US" w:eastAsia="zh-CN"/>
              </w:rPr>
              <w:t>3</w:t>
            </w:r>
            <w:r>
              <w:rPr>
                <w:rFonts w:hint="eastAsia" w:ascii="仿宋" w:hAnsi="仿宋" w:eastAsia="仿宋"/>
                <w:spacing w:val="-6"/>
                <w:sz w:val="24"/>
              </w:rPr>
              <w:t>）其余不得分。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同时满足取最高分，不重复累计，本项目最高得</w:t>
            </w:r>
            <w:r>
              <w:rPr>
                <w:rFonts w:hint="eastAsia" w:ascii="仿宋" w:hAnsi="仿宋" w:eastAsia="仿宋"/>
                <w:spacing w:val="-6"/>
                <w:sz w:val="24"/>
                <w:lang w:val="en-US" w:eastAsia="zh-CN"/>
              </w:rPr>
              <w:t>2</w:t>
            </w:r>
            <w:r>
              <w:rPr>
                <w:rFonts w:hint="eastAsia" w:ascii="仿宋" w:hAnsi="仿宋" w:eastAsia="仿宋"/>
                <w:spacing w:val="-6"/>
                <w:sz w:val="24"/>
              </w:rPr>
              <w:t>分。</w:t>
            </w:r>
          </w:p>
        </w:tc>
        <w:tc>
          <w:tcPr>
            <w:tcW w:w="3125" w:type="dxa"/>
            <w:vAlign w:val="center"/>
          </w:tcPr>
          <w:p>
            <w:pPr>
              <w:pStyle w:val="10"/>
              <w:adjustRightInd w:val="0"/>
              <w:snapToGrid w:val="0"/>
              <w:spacing w:line="360" w:lineRule="auto"/>
              <w:ind w:firstLine="456" w:firstLineChars="200"/>
              <w:rPr>
                <w:rFonts w:ascii="仿宋" w:hAnsi="仿宋" w:eastAsia="仿宋" w:cs="宋体"/>
                <w:sz w:val="24"/>
                <w:szCs w:val="24"/>
              </w:rPr>
            </w:pPr>
            <w:r>
              <w:rPr>
                <w:rFonts w:hint="eastAsia" w:ascii="仿宋" w:hAnsi="仿宋" w:eastAsia="仿宋"/>
                <w:spacing w:val="-6"/>
                <w:sz w:val="24"/>
                <w:szCs w:val="24"/>
              </w:rPr>
              <w:t>提供荣誉证书等证明材料。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kern w:val="0"/>
                <w:sz w:val="24"/>
              </w:rPr>
            </w:pPr>
            <w:r>
              <w:rPr>
                <w:rFonts w:ascii="仿宋" w:hAnsi="仿宋" w:eastAsia="仿宋"/>
                <w:kern w:val="0"/>
                <w:sz w:val="24"/>
              </w:rPr>
              <w:t>3</w:t>
            </w:r>
          </w:p>
        </w:tc>
        <w:tc>
          <w:tcPr>
            <w:tcW w:w="493" w:type="dxa"/>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5</w:t>
            </w:r>
          </w:p>
        </w:tc>
        <w:tc>
          <w:tcPr>
            <w:tcW w:w="1200" w:type="dxa"/>
            <w:vAlign w:val="center"/>
          </w:tcPr>
          <w:p>
            <w:pPr>
              <w:adjustRightInd w:val="0"/>
              <w:snapToGrid w:val="0"/>
              <w:spacing w:line="360" w:lineRule="auto"/>
              <w:jc w:val="center"/>
              <w:rPr>
                <w:rFonts w:ascii="仿宋" w:hAnsi="仿宋" w:eastAsia="仿宋"/>
                <w:kern w:val="0"/>
                <w:sz w:val="24"/>
              </w:rPr>
            </w:pPr>
            <w:r>
              <w:rPr>
                <w:rFonts w:hint="eastAsia" w:ascii="仿宋" w:hAnsi="仿宋" w:eastAsia="仿宋"/>
                <w:spacing w:val="-6"/>
                <w:sz w:val="24"/>
              </w:rPr>
              <w:t>类似项目业绩</w:t>
            </w:r>
          </w:p>
        </w:tc>
        <w:tc>
          <w:tcPr>
            <w:tcW w:w="3558" w:type="dxa"/>
            <w:vAlign w:val="center"/>
          </w:tcPr>
          <w:p>
            <w:pPr>
              <w:adjustRightInd w:val="0"/>
              <w:snapToGrid w:val="0"/>
              <w:ind w:firstLine="456" w:firstLineChars="200"/>
              <w:rPr>
                <w:rFonts w:ascii="仿宋" w:hAnsi="仿宋" w:eastAsia="仿宋"/>
                <w:bCs/>
                <w:spacing w:val="-6"/>
                <w:sz w:val="24"/>
              </w:rPr>
            </w:pPr>
            <w:r>
              <w:rPr>
                <w:rFonts w:hint="eastAsia" w:ascii="仿宋" w:hAnsi="仿宋" w:eastAsia="仿宋"/>
                <w:bCs/>
                <w:spacing w:val="-6"/>
                <w:sz w:val="24"/>
              </w:rPr>
              <w:t>（1）</w:t>
            </w:r>
            <w:r>
              <w:rPr>
                <w:rFonts w:ascii="仿宋" w:hAnsi="仿宋" w:eastAsia="仿宋"/>
                <w:bCs/>
                <w:spacing w:val="-6"/>
                <w:sz w:val="24"/>
              </w:rPr>
              <w:t>2023年1月1日</w:t>
            </w:r>
            <w:r>
              <w:rPr>
                <w:rFonts w:hint="eastAsia" w:ascii="仿宋" w:hAnsi="仿宋" w:eastAsia="仿宋"/>
                <w:bCs/>
                <w:spacing w:val="-6"/>
                <w:sz w:val="24"/>
              </w:rPr>
              <w:t>至2</w:t>
            </w:r>
            <w:r>
              <w:rPr>
                <w:rFonts w:ascii="仿宋" w:hAnsi="仿宋" w:eastAsia="仿宋"/>
                <w:bCs/>
                <w:spacing w:val="-6"/>
                <w:sz w:val="24"/>
              </w:rPr>
              <w:t>023</w:t>
            </w:r>
            <w:r>
              <w:rPr>
                <w:rFonts w:hint="eastAsia" w:ascii="仿宋" w:hAnsi="仿宋" w:eastAsia="仿宋"/>
                <w:bCs/>
                <w:spacing w:val="-6"/>
                <w:sz w:val="24"/>
              </w:rPr>
              <w:t>年1</w:t>
            </w:r>
            <w:r>
              <w:rPr>
                <w:rFonts w:ascii="仿宋" w:hAnsi="仿宋" w:eastAsia="仿宋"/>
                <w:bCs/>
                <w:spacing w:val="-6"/>
                <w:sz w:val="24"/>
              </w:rPr>
              <w:t>2</w:t>
            </w:r>
            <w:r>
              <w:rPr>
                <w:rFonts w:hint="eastAsia" w:ascii="仿宋" w:hAnsi="仿宋" w:eastAsia="仿宋"/>
                <w:bCs/>
                <w:spacing w:val="-6"/>
                <w:sz w:val="24"/>
              </w:rPr>
              <w:t>月3</w:t>
            </w:r>
            <w:r>
              <w:rPr>
                <w:rFonts w:ascii="仿宋" w:hAnsi="仿宋" w:eastAsia="仿宋"/>
                <w:bCs/>
                <w:spacing w:val="-6"/>
                <w:sz w:val="24"/>
              </w:rPr>
              <w:t>1</w:t>
            </w:r>
            <w:r>
              <w:rPr>
                <w:rFonts w:hint="eastAsia" w:ascii="仿宋" w:hAnsi="仿宋" w:eastAsia="仿宋"/>
                <w:bCs/>
                <w:spacing w:val="-6"/>
                <w:sz w:val="24"/>
              </w:rPr>
              <w:t>日</w:t>
            </w:r>
            <w:r>
              <w:rPr>
                <w:rFonts w:ascii="仿宋" w:hAnsi="仿宋" w:eastAsia="仿宋"/>
                <w:bCs/>
                <w:spacing w:val="-6"/>
                <w:sz w:val="24"/>
              </w:rPr>
              <w:t>，服务单价标准（体检项目+配套服务）3000元及以上的项目，累计服务3000人次及以上</w:t>
            </w:r>
            <w:r>
              <w:rPr>
                <w:rFonts w:hint="eastAsia" w:ascii="仿宋" w:hAnsi="仿宋" w:eastAsia="仿宋"/>
                <w:bCs/>
                <w:spacing w:val="-6"/>
                <w:sz w:val="24"/>
              </w:rPr>
              <w:t>，得</w:t>
            </w:r>
            <w:r>
              <w:rPr>
                <w:rFonts w:ascii="仿宋" w:hAnsi="仿宋" w:eastAsia="仿宋"/>
                <w:bCs/>
                <w:spacing w:val="-6"/>
                <w:sz w:val="24"/>
              </w:rPr>
              <w:t xml:space="preserve"> </w:t>
            </w:r>
            <w:r>
              <w:rPr>
                <w:rFonts w:hint="eastAsia" w:ascii="仿宋" w:hAnsi="仿宋" w:eastAsia="仿宋"/>
                <w:bCs/>
                <w:spacing w:val="-6"/>
                <w:sz w:val="24"/>
                <w:lang w:val="en-US" w:eastAsia="zh-CN"/>
              </w:rPr>
              <w:t>5</w:t>
            </w:r>
            <w:r>
              <w:rPr>
                <w:rFonts w:ascii="仿宋" w:hAnsi="仿宋" w:eastAsia="仿宋"/>
                <w:bCs/>
                <w:spacing w:val="-6"/>
                <w:sz w:val="24"/>
              </w:rPr>
              <w:t>分；</w:t>
            </w:r>
          </w:p>
          <w:p>
            <w:pPr>
              <w:adjustRightInd w:val="0"/>
              <w:snapToGrid w:val="0"/>
              <w:ind w:firstLine="456" w:firstLineChars="200"/>
              <w:rPr>
                <w:rFonts w:ascii="仿宋" w:hAnsi="仿宋" w:eastAsia="仿宋"/>
                <w:bCs/>
                <w:spacing w:val="-6"/>
                <w:sz w:val="24"/>
              </w:rPr>
            </w:pPr>
            <w:r>
              <w:rPr>
                <w:rFonts w:hint="eastAsia" w:ascii="仿宋" w:hAnsi="仿宋" w:eastAsia="仿宋"/>
                <w:bCs/>
                <w:spacing w:val="-6"/>
                <w:sz w:val="24"/>
              </w:rPr>
              <w:t>（</w:t>
            </w:r>
            <w:r>
              <w:rPr>
                <w:rFonts w:ascii="仿宋" w:hAnsi="仿宋" w:eastAsia="仿宋"/>
                <w:bCs/>
                <w:spacing w:val="-6"/>
                <w:sz w:val="24"/>
              </w:rPr>
              <w:t>2）2023年1月1日</w:t>
            </w:r>
            <w:r>
              <w:rPr>
                <w:rFonts w:hint="eastAsia" w:ascii="仿宋" w:hAnsi="仿宋" w:eastAsia="仿宋"/>
                <w:bCs/>
                <w:spacing w:val="-6"/>
                <w:sz w:val="24"/>
              </w:rPr>
              <w:t>至2</w:t>
            </w:r>
            <w:r>
              <w:rPr>
                <w:rFonts w:ascii="仿宋" w:hAnsi="仿宋" w:eastAsia="仿宋"/>
                <w:bCs/>
                <w:spacing w:val="-6"/>
                <w:sz w:val="24"/>
              </w:rPr>
              <w:t>023</w:t>
            </w:r>
            <w:r>
              <w:rPr>
                <w:rFonts w:hint="eastAsia" w:ascii="仿宋" w:hAnsi="仿宋" w:eastAsia="仿宋"/>
                <w:bCs/>
                <w:spacing w:val="-6"/>
                <w:sz w:val="24"/>
              </w:rPr>
              <w:t>年1</w:t>
            </w:r>
            <w:r>
              <w:rPr>
                <w:rFonts w:ascii="仿宋" w:hAnsi="仿宋" w:eastAsia="仿宋"/>
                <w:bCs/>
                <w:spacing w:val="-6"/>
                <w:sz w:val="24"/>
              </w:rPr>
              <w:t>2</w:t>
            </w:r>
            <w:r>
              <w:rPr>
                <w:rFonts w:hint="eastAsia" w:ascii="仿宋" w:hAnsi="仿宋" w:eastAsia="仿宋"/>
                <w:bCs/>
                <w:spacing w:val="-6"/>
                <w:sz w:val="24"/>
              </w:rPr>
              <w:t>月3</w:t>
            </w:r>
            <w:r>
              <w:rPr>
                <w:rFonts w:ascii="仿宋" w:hAnsi="仿宋" w:eastAsia="仿宋"/>
                <w:bCs/>
                <w:spacing w:val="-6"/>
                <w:sz w:val="24"/>
              </w:rPr>
              <w:t>1</w:t>
            </w:r>
            <w:r>
              <w:rPr>
                <w:rFonts w:hint="eastAsia" w:ascii="仿宋" w:hAnsi="仿宋" w:eastAsia="仿宋"/>
                <w:bCs/>
                <w:spacing w:val="-6"/>
                <w:sz w:val="24"/>
              </w:rPr>
              <w:t>日</w:t>
            </w:r>
            <w:r>
              <w:rPr>
                <w:rFonts w:ascii="仿宋" w:hAnsi="仿宋" w:eastAsia="仿宋"/>
                <w:bCs/>
                <w:spacing w:val="-6"/>
                <w:sz w:val="24"/>
              </w:rPr>
              <w:t>，服务单价标准（体检项目+配套服务）3000元及以上的项目，累计服务2000人次及以上，得 3分；</w:t>
            </w:r>
          </w:p>
          <w:p>
            <w:pPr>
              <w:adjustRightInd w:val="0"/>
              <w:snapToGrid w:val="0"/>
              <w:ind w:firstLine="456" w:firstLineChars="200"/>
              <w:rPr>
                <w:rFonts w:ascii="仿宋" w:hAnsi="仿宋" w:eastAsia="仿宋"/>
                <w:bCs/>
                <w:spacing w:val="-6"/>
                <w:sz w:val="24"/>
              </w:rPr>
            </w:pPr>
            <w:r>
              <w:rPr>
                <w:rFonts w:hint="eastAsia" w:ascii="仿宋" w:hAnsi="仿宋" w:eastAsia="仿宋"/>
                <w:bCs/>
                <w:spacing w:val="-6"/>
                <w:sz w:val="24"/>
              </w:rPr>
              <w:t>（</w:t>
            </w:r>
            <w:r>
              <w:rPr>
                <w:rFonts w:ascii="仿宋" w:hAnsi="仿宋" w:eastAsia="仿宋"/>
                <w:bCs/>
                <w:spacing w:val="-6"/>
                <w:sz w:val="24"/>
              </w:rPr>
              <w:t>3）2023年1月1日以来，服务单价标准（体检项目+配套服务）2000元及以上的项目，累计服务1000人次及以上，得2分；</w:t>
            </w:r>
          </w:p>
          <w:p>
            <w:pPr>
              <w:adjustRightInd w:val="0"/>
              <w:snapToGrid w:val="0"/>
              <w:ind w:firstLine="456" w:firstLineChars="200"/>
              <w:rPr>
                <w:rFonts w:ascii="仿宋" w:hAnsi="仿宋" w:eastAsia="仿宋"/>
                <w:kern w:val="0"/>
                <w:sz w:val="24"/>
              </w:rPr>
            </w:pPr>
            <w:r>
              <w:rPr>
                <w:rFonts w:hint="eastAsia" w:ascii="仿宋" w:hAnsi="仿宋" w:eastAsia="仿宋"/>
                <w:bCs/>
                <w:spacing w:val="-6"/>
                <w:sz w:val="24"/>
              </w:rPr>
              <w:t>（</w:t>
            </w:r>
            <w:r>
              <w:rPr>
                <w:rFonts w:ascii="仿宋" w:hAnsi="仿宋" w:eastAsia="仿宋"/>
                <w:bCs/>
                <w:spacing w:val="-6"/>
                <w:sz w:val="24"/>
              </w:rPr>
              <w:t>4）其余不得分。</w:t>
            </w:r>
          </w:p>
        </w:tc>
        <w:tc>
          <w:tcPr>
            <w:tcW w:w="3125" w:type="dxa"/>
            <w:vAlign w:val="center"/>
          </w:tcPr>
          <w:p>
            <w:pPr>
              <w:pStyle w:val="10"/>
              <w:adjustRightInd w:val="0"/>
              <w:snapToGrid w:val="0"/>
              <w:spacing w:line="360" w:lineRule="auto"/>
              <w:rPr>
                <w:rFonts w:ascii="仿宋" w:hAnsi="仿宋" w:eastAsia="仿宋" w:cs="宋体"/>
                <w:bCs/>
                <w:spacing w:val="-6"/>
                <w:sz w:val="24"/>
                <w:szCs w:val="24"/>
              </w:rPr>
            </w:pPr>
            <w:r>
              <w:rPr>
                <w:rFonts w:hint="eastAsia" w:ascii="仿宋" w:hAnsi="仿宋" w:eastAsia="仿宋"/>
                <w:bCs/>
                <w:spacing w:val="-6"/>
                <w:sz w:val="24"/>
                <w:szCs w:val="24"/>
              </w:rPr>
              <w:t>提供财务数据等证明材料。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4</w:t>
            </w:r>
          </w:p>
        </w:tc>
        <w:tc>
          <w:tcPr>
            <w:tcW w:w="493"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经营与管理制度</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有组织机构图、管理人员岗位说明书、技术服务人员岗位说明书、工作技术标准、服务项目流程及标准等有关规章制度。</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（1）制度健全、内控良好，得2分；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（2）制度较完整，内控较好，得1分；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（3）其余不得分。</w:t>
            </w:r>
          </w:p>
        </w:tc>
        <w:tc>
          <w:tcPr>
            <w:tcW w:w="3125" w:type="dxa"/>
            <w:vAlign w:val="center"/>
          </w:tcPr>
          <w:p>
            <w:pPr>
              <w:adjustRightInd w:val="0"/>
              <w:snapToGrid w:val="0"/>
              <w:ind w:firstLine="456" w:firstLineChars="200"/>
              <w:rPr>
                <w:rFonts w:ascii="仿宋" w:hAnsi="仿宋" w:eastAsia="仿宋" w:cs="宋体"/>
                <w:sz w:val="24"/>
              </w:rPr>
            </w:pPr>
            <w:r>
              <w:rPr>
                <w:rFonts w:hint="eastAsia" w:ascii="仿宋" w:hAnsi="仿宋" w:eastAsia="仿宋"/>
                <w:bCs/>
                <w:spacing w:val="-6"/>
                <w:sz w:val="24"/>
              </w:rPr>
              <w:t>提供组织机构图、相关说明书及规章制度等相关材料。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5</w:t>
            </w:r>
          </w:p>
        </w:tc>
        <w:tc>
          <w:tcPr>
            <w:tcW w:w="493"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项目负责人资质</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（1）项目负责人具有医疗系统或健康管理方面高级（或同等）职称的得2分；</w:t>
            </w:r>
          </w:p>
          <w:p>
            <w:pPr>
              <w:adjustRightInd w:val="0"/>
              <w:snapToGrid w:val="0"/>
              <w:ind w:firstLine="456" w:firstLineChars="200"/>
              <w:rPr>
                <w:rFonts w:ascii="仿宋" w:hAnsi="仿宋" w:eastAsia="仿宋"/>
                <w:bCs/>
                <w:spacing w:val="-6"/>
                <w:sz w:val="24"/>
              </w:rPr>
            </w:pPr>
            <w:r>
              <w:rPr>
                <w:rFonts w:hint="eastAsia" w:ascii="仿宋" w:hAnsi="仿宋" w:eastAsia="仿宋"/>
                <w:spacing w:val="-6"/>
                <w:sz w:val="24"/>
              </w:rPr>
              <w:t>（2）具有医疗系统或健康管理方面中级（或同等）职称得1分；</w:t>
            </w:r>
          </w:p>
          <w:p>
            <w:pPr>
              <w:pStyle w:val="5"/>
              <w:adjustRightInd w:val="0"/>
              <w:snapToGrid w:val="0"/>
              <w:ind w:left="0" w:leftChars="0" w:firstLine="456" w:firstLineChars="200"/>
              <w:rPr>
                <w:rFonts w:ascii="仿宋" w:hAnsi="仿宋" w:eastAsia="仿宋"/>
                <w:spacing w:val="-6"/>
                <w:sz w:val="24"/>
              </w:rPr>
            </w:pPr>
            <w:r>
              <w:rPr>
                <w:rFonts w:hint="eastAsia" w:ascii="仿宋" w:hAnsi="仿宋" w:eastAsia="仿宋"/>
                <w:bCs/>
                <w:spacing w:val="-6"/>
                <w:sz w:val="24"/>
              </w:rPr>
              <w:t>（</w:t>
            </w:r>
            <w:r>
              <w:rPr>
                <w:rFonts w:ascii="仿宋" w:hAnsi="仿宋" w:eastAsia="仿宋"/>
                <w:bCs/>
                <w:spacing w:val="-6"/>
                <w:sz w:val="24"/>
              </w:rPr>
              <w:t>3）其余不得分。</w:t>
            </w:r>
          </w:p>
        </w:tc>
        <w:tc>
          <w:tcPr>
            <w:tcW w:w="3125" w:type="dxa"/>
            <w:vAlign w:val="center"/>
          </w:tcPr>
          <w:p>
            <w:pPr>
              <w:pStyle w:val="10"/>
              <w:adjustRightInd w:val="0"/>
              <w:snapToGrid w:val="0"/>
              <w:spacing w:line="360" w:lineRule="auto"/>
              <w:ind w:firstLine="456" w:firstLineChars="200"/>
              <w:rPr>
                <w:rFonts w:ascii="仿宋" w:hAnsi="仿宋" w:eastAsia="仿宋" w:cs="宋体"/>
                <w:sz w:val="24"/>
                <w:szCs w:val="24"/>
              </w:rPr>
            </w:pPr>
            <w:r>
              <w:rPr>
                <w:rFonts w:hint="eastAsia" w:ascii="仿宋" w:hAnsi="仿宋" w:eastAsia="仿宋" w:cstheme="minorBidi"/>
                <w:bCs/>
                <w:spacing w:val="-6"/>
                <w:kern w:val="2"/>
                <w:sz w:val="24"/>
                <w:szCs w:val="24"/>
                <w:lang w:val="en-US" w:eastAsia="zh-CN" w:bidi="ar-SA"/>
              </w:rPr>
              <w:t>提供职称证书证明。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6</w:t>
            </w:r>
          </w:p>
        </w:tc>
        <w:tc>
          <w:tcPr>
            <w:tcW w:w="493"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安全消防</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（1）安全消防设施齐全，医疗措施到位，卫生情况好，得2分；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（2）安全消防设施基本齐全，医疗措施基本到位，卫生情况尚可，得 1分；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（3）其余不得分。</w:t>
            </w:r>
          </w:p>
        </w:tc>
        <w:tc>
          <w:tcPr>
            <w:tcW w:w="3125" w:type="dxa"/>
            <w:vAlign w:val="center"/>
          </w:tcPr>
          <w:p>
            <w:pPr>
              <w:pStyle w:val="10"/>
              <w:adjustRightInd w:val="0"/>
              <w:snapToGrid w:val="0"/>
              <w:spacing w:line="240" w:lineRule="auto"/>
              <w:ind w:firstLine="464" w:firstLineChars="200"/>
              <w:rPr>
                <w:rFonts w:hint="eastAsia" w:ascii="仿宋" w:hAnsi="仿宋" w:eastAsia="仿宋" w:cs="宋体"/>
                <w:sz w:val="24"/>
                <w:szCs w:val="24"/>
                <w:lang w:eastAsia="zh-CN"/>
              </w:rPr>
            </w:pPr>
            <w:r>
              <w:rPr>
                <w:rFonts w:hint="eastAsia" w:ascii="仿宋" w:hAnsi="仿宋" w:eastAsia="仿宋" w:cs="宋体"/>
                <w:sz w:val="24"/>
                <w:szCs w:val="24"/>
              </w:rPr>
              <w:t>提供消防设施设备名称及数量、消防相关证明文件、医疗急救配置等材料</w:t>
            </w:r>
            <w:r>
              <w:rPr>
                <w:rFonts w:hint="eastAsia" w:ascii="仿宋" w:hAnsi="仿宋" w:eastAsia="仿宋"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7</w:t>
            </w:r>
          </w:p>
        </w:tc>
        <w:tc>
          <w:tcPr>
            <w:tcW w:w="493" w:type="dxa"/>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信息化管理</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（1）自有“信息化健康体检系统”，能按要求开展客户预约登记、健康信息采集、风险评估、干预计划制订、后续执行全过程的电子化记录情况，得1分；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(2) 供应商通过省、市医保定点单位评估或同时具备“信息技术服务管理系统认证IS020000、隐私信息管理体系IS027701、信息系统安全等级保护备案证明（体检）三级及以上”三项认证，得</w:t>
            </w:r>
            <w:r>
              <w:rPr>
                <w:rFonts w:hint="eastAsia" w:ascii="仿宋" w:hAnsi="仿宋" w:eastAsia="仿宋"/>
                <w:spacing w:val="-6"/>
                <w:sz w:val="24"/>
                <w:lang w:val="en-US" w:eastAsia="zh-CN"/>
              </w:rPr>
              <w:t>1</w:t>
            </w:r>
            <w:r>
              <w:rPr>
                <w:rFonts w:hint="eastAsia" w:ascii="仿宋" w:hAnsi="仿宋" w:eastAsia="仿宋"/>
                <w:spacing w:val="-6"/>
                <w:sz w:val="24"/>
              </w:rPr>
              <w:t>分。</w:t>
            </w:r>
          </w:p>
          <w:p>
            <w:pPr>
              <w:adjustRightInd w:val="0"/>
              <w:snapToGrid w:val="0"/>
              <w:ind w:firstLine="456" w:firstLineChars="200"/>
              <w:rPr>
                <w:rFonts w:ascii="仿宋" w:hAnsi="仿宋" w:eastAsia="仿宋"/>
                <w:bCs/>
                <w:spacing w:val="-6"/>
                <w:sz w:val="24"/>
              </w:rPr>
            </w:pPr>
            <w:r>
              <w:rPr>
                <w:rFonts w:hint="eastAsia" w:ascii="仿宋" w:hAnsi="仿宋" w:eastAsia="仿宋"/>
                <w:spacing w:val="-6"/>
                <w:sz w:val="24"/>
              </w:rPr>
              <w:t>(1)和（2）分数可累计，本项目最高得</w:t>
            </w:r>
            <w:r>
              <w:rPr>
                <w:rFonts w:hint="eastAsia" w:ascii="仿宋" w:hAnsi="仿宋" w:eastAsia="仿宋"/>
                <w:spacing w:val="-6"/>
                <w:sz w:val="24"/>
                <w:lang w:val="en-US" w:eastAsia="zh-CN"/>
              </w:rPr>
              <w:t>1</w:t>
            </w:r>
            <w:r>
              <w:rPr>
                <w:rFonts w:hint="eastAsia" w:ascii="仿宋" w:hAnsi="仿宋" w:eastAsia="仿宋"/>
                <w:spacing w:val="-6"/>
                <w:sz w:val="24"/>
              </w:rPr>
              <w:t>分。</w:t>
            </w:r>
          </w:p>
        </w:tc>
        <w:tc>
          <w:tcPr>
            <w:tcW w:w="3125" w:type="dxa"/>
            <w:vAlign w:val="center"/>
          </w:tcPr>
          <w:p>
            <w:pPr>
              <w:pStyle w:val="10"/>
              <w:tabs>
                <w:tab w:val="left" w:pos="312"/>
              </w:tabs>
              <w:adjustRightInd w:val="0"/>
              <w:snapToGrid w:val="0"/>
              <w:spacing w:line="240" w:lineRule="auto"/>
              <w:rPr>
                <w:rFonts w:ascii="仿宋" w:hAnsi="仿宋" w:eastAsia="仿宋" w:cs="宋体"/>
                <w:sz w:val="24"/>
                <w:szCs w:val="24"/>
              </w:rPr>
            </w:pPr>
            <w:r>
              <w:rPr>
                <w:rFonts w:hint="eastAsia" w:ascii="仿宋" w:hAnsi="仿宋" w:eastAsia="仿宋" w:cs="宋体"/>
                <w:sz w:val="24"/>
                <w:szCs w:val="24"/>
              </w:rPr>
              <w:t>提供信息化健康体检系统截屏、承诺函、通过省、市医保定点单位评估证明。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3" w:type="dxa"/>
            <w:gridSpan w:val="5"/>
            <w:vAlign w:val="center"/>
          </w:tcPr>
          <w:p>
            <w:pPr>
              <w:pStyle w:val="10"/>
              <w:tabs>
                <w:tab w:val="left" w:pos="312"/>
              </w:tabs>
              <w:adjustRightInd w:val="0"/>
              <w:snapToGrid w:val="0"/>
              <w:spacing w:line="240" w:lineRule="auto"/>
              <w:ind w:left="424" w:firstLine="0"/>
              <w:rPr>
                <w:rFonts w:ascii="仿宋" w:hAnsi="仿宋" w:eastAsia="仿宋" w:cs="宋体"/>
                <w:b/>
                <w:sz w:val="24"/>
                <w:szCs w:val="24"/>
              </w:rPr>
            </w:pPr>
            <w:r>
              <w:rPr>
                <w:rFonts w:hint="eastAsia" w:ascii="仿宋" w:hAnsi="仿宋" w:eastAsia="仿宋" w:cs="宋体"/>
                <w:b/>
                <w:sz w:val="24"/>
                <w:szCs w:val="24"/>
              </w:rPr>
              <w:t>技术分（</w:t>
            </w:r>
            <w:r>
              <w:rPr>
                <w:rFonts w:ascii="仿宋" w:hAnsi="仿宋" w:eastAsia="仿宋" w:cs="宋体"/>
                <w:b/>
                <w:sz w:val="24"/>
                <w:szCs w:val="24"/>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8"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8</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r>
              <w:rPr>
                <w:rFonts w:ascii="仿宋" w:hAnsi="仿宋" w:eastAsia="仿宋"/>
                <w:spacing w:val="-6"/>
                <w:sz w:val="24"/>
              </w:rPr>
              <w:t>0</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检线医生资质</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投标人所指定的一个分支机构(经营场所）的检线医生达15人及以上（其中B超医生不少于5人，放射科医生不少于1人），得基础分3分；人员数量不满足要求，则本项（10分）不得分；在此基础上按以下标准计分：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（1）中、高级职称（主治医师、副主任医师、主任医师）人员达到15人及以上[其中，高级职称（副主任医师、主任医师）不低于3人]，得7分；</w:t>
            </w:r>
          </w:p>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（2）中、高级职称（主治医师、副主任医师、主任医师）人员达到10人 [其中，高级职称（副主任医师、主任医师）不低于2人]，得4分；</w:t>
            </w:r>
          </w:p>
          <w:p>
            <w:pPr>
              <w:adjustRightInd w:val="0"/>
              <w:snapToGrid w:val="0"/>
              <w:ind w:firstLine="456" w:firstLineChars="200"/>
              <w:rPr>
                <w:rFonts w:hint="eastAsia" w:ascii="仿宋" w:hAnsi="仿宋" w:eastAsia="仿宋"/>
                <w:sz w:val="24"/>
                <w:szCs w:val="24"/>
                <w:lang w:eastAsia="zh-CN"/>
              </w:rPr>
            </w:pPr>
            <w:r>
              <w:rPr>
                <w:rFonts w:hint="eastAsia" w:ascii="仿宋" w:hAnsi="仿宋" w:eastAsia="仿宋"/>
                <w:spacing w:val="-6"/>
                <w:sz w:val="24"/>
              </w:rPr>
              <w:t>（3）中、高级职称（主治医师、副主任医师、主任医师）人员达到5人 [其中，高级职称（副主任医师、主任医师）不低于1人]，得1分</w:t>
            </w:r>
            <w:r>
              <w:rPr>
                <w:rFonts w:hint="eastAsia" w:ascii="仿宋" w:hAnsi="仿宋" w:eastAsia="仿宋"/>
                <w:spacing w:val="-6"/>
                <w:sz w:val="24"/>
                <w:lang w:eastAsia="zh-CN"/>
              </w:rPr>
              <w:t>。</w:t>
            </w:r>
          </w:p>
        </w:tc>
        <w:tc>
          <w:tcPr>
            <w:tcW w:w="3125" w:type="dxa"/>
            <w:vAlign w:val="center"/>
          </w:tcPr>
          <w:p>
            <w:pPr>
              <w:adjustRightInd w:val="0"/>
              <w:snapToGrid w:val="0"/>
              <w:ind w:firstLine="456" w:firstLineChars="200"/>
              <w:jc w:val="left"/>
              <w:rPr>
                <w:rFonts w:hint="eastAsia" w:ascii="仿宋" w:hAnsi="仿宋" w:eastAsia="仿宋" w:cs="宋体"/>
                <w:spacing w:val="-6"/>
                <w:sz w:val="24"/>
                <w:lang w:eastAsia="zh-CN"/>
              </w:rPr>
            </w:pPr>
            <w:r>
              <w:rPr>
                <w:rFonts w:hint="eastAsia" w:ascii="仿宋" w:hAnsi="仿宋" w:eastAsia="仿宋" w:cs="宋体"/>
                <w:spacing w:val="-6"/>
                <w:sz w:val="24"/>
              </w:rPr>
              <w:t>提供“医师电子化注册信息系统（机构版）”中的医生人员信息（包含姓名、年龄、性别、执业范围、任职资格等）</w:t>
            </w:r>
            <w:r>
              <w:rPr>
                <w:rFonts w:hint="eastAsia" w:ascii="仿宋" w:hAnsi="仿宋" w:eastAsia="仿宋" w:cs="宋体"/>
                <w:spacing w:val="-6"/>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9</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6</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检线护士的资质</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投标人所指定的一个分支机构（经营场所）的检线执业护士达10人及以上，得基础分2分，人员数量不满足要求，则本项（6分）不得分；在此基础上按以下标准计分：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检线执业护士具有营养师、心理咨询师、健康管理师、国际认证健康教练、有效BLS证书。每提供一个拥有其中一个证书的人员得0.5分，最高得4分。（同一人具有多个证书按1个人计算）</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rPr>
              <w:t>提供“护士电子化信息注册平台”中的护士人员信息（包含姓名、年龄、性别、职称等）；提供相关证书材料；本单位在职社保证明。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10</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4</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健康管理师的资质</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投标人所指定的一个分支机构（经营场所）的具有医学背景的三级及以上健康管理师达5人及以上，得基础分 2分，人员数量及前述资格不满足要求的，则本项（4分）不得分；在此基础上按以下标准计分：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健康管理师具有营养师或心理咨询师或国际认证健康教练或执业护士证，每提供一个拥有证书的人员得0.5分，最高得2分。（同一人具有多个证书按1个人计算）</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rPr>
              <w:t>提供健康管理师的人员姓名、年龄、性别、健康管理师证书、其它相关证书等证明材料。本单位在职社保证明。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11</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仿宋" w:hAnsi="仿宋" w:eastAsia="仿宋"/>
                <w:spacing w:val="-6"/>
                <w:sz w:val="24"/>
                <w:lang w:val="en-US" w:eastAsia="zh-CN"/>
              </w:rPr>
            </w:pPr>
            <w:r>
              <w:rPr>
                <w:rFonts w:hint="eastAsia" w:ascii="仿宋" w:hAnsi="仿宋" w:eastAsia="仿宋"/>
                <w:spacing w:val="-6"/>
                <w:sz w:val="24"/>
                <w:lang w:val="en-US" w:eastAsia="zh-CN"/>
              </w:rPr>
              <w:t>10</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体检场所：位置好</w:t>
            </w:r>
          </w:p>
        </w:tc>
        <w:tc>
          <w:tcPr>
            <w:tcW w:w="3558" w:type="dxa"/>
            <w:vAlign w:val="center"/>
          </w:tcPr>
          <w:p>
            <w:pPr>
              <w:adjustRightInd w:val="0"/>
              <w:snapToGrid w:val="0"/>
              <w:ind w:firstLine="456" w:firstLineChars="200"/>
              <w:rPr>
                <w:rFonts w:hint="eastAsia" w:ascii="仿宋" w:hAnsi="仿宋" w:eastAsia="仿宋"/>
                <w:spacing w:val="-6"/>
                <w:sz w:val="24"/>
              </w:rPr>
            </w:pPr>
            <w:r>
              <w:rPr>
                <w:rFonts w:hint="eastAsia" w:ascii="仿宋" w:hAnsi="仿宋" w:eastAsia="仿宋"/>
                <w:spacing w:val="-6"/>
                <w:sz w:val="24"/>
              </w:rPr>
              <w:t>位置好：地处招标人指定区域，在此基础上按以下方式计分：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（1）地处5A风景名胜区或商业综合体,投标人自身拥有或投标人归属集团（控股股东）所拥有的独立院落或独栋楼房（</w:t>
            </w:r>
            <w:r>
              <w:rPr>
                <w:rFonts w:ascii="仿宋" w:hAnsi="仿宋" w:eastAsia="仿宋"/>
                <w:spacing w:val="-6"/>
                <w:sz w:val="24"/>
              </w:rPr>
              <w:t>大厦），</w:t>
            </w:r>
            <w:r>
              <w:rPr>
                <w:rFonts w:hint="eastAsia" w:ascii="仿宋" w:hAnsi="仿宋" w:eastAsia="仿宋"/>
                <w:spacing w:val="-6"/>
                <w:sz w:val="24"/>
                <w:lang w:val="en-US" w:eastAsia="zh-CN"/>
              </w:rPr>
              <w:t>地铁上盖建筑或地铁直达</w:t>
            </w:r>
            <w:r>
              <w:rPr>
                <w:rFonts w:ascii="仿宋" w:hAnsi="仿宋" w:eastAsia="仿宋"/>
                <w:spacing w:val="-6"/>
                <w:sz w:val="24"/>
              </w:rPr>
              <w:t>得</w:t>
            </w:r>
            <w:r>
              <w:rPr>
                <w:rFonts w:hint="eastAsia" w:ascii="仿宋" w:hAnsi="仿宋" w:eastAsia="仿宋"/>
                <w:spacing w:val="-6"/>
                <w:sz w:val="24"/>
                <w:lang w:val="en-US" w:eastAsia="zh-CN"/>
              </w:rPr>
              <w:t>10</w:t>
            </w:r>
            <w:r>
              <w:rPr>
                <w:rFonts w:ascii="仿宋" w:hAnsi="仿宋" w:eastAsia="仿宋"/>
                <w:spacing w:val="-6"/>
                <w:sz w:val="24"/>
              </w:rPr>
              <w:t>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w:t>
            </w:r>
            <w:r>
              <w:rPr>
                <w:rFonts w:ascii="仿宋" w:hAnsi="仿宋" w:eastAsia="仿宋"/>
                <w:spacing w:val="-6"/>
                <w:sz w:val="24"/>
              </w:rPr>
              <w:t>2）地处5A风景名胜区,不具备独立的院落或独栋楼房（大厦），得 6分；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w:t>
            </w:r>
            <w:r>
              <w:rPr>
                <w:rFonts w:ascii="仿宋" w:hAnsi="仿宋" w:eastAsia="仿宋"/>
                <w:spacing w:val="-6"/>
                <w:sz w:val="24"/>
              </w:rPr>
              <w:t>3）地处4A风景名胜区,投标人自身拥有或投标人归属集团（控股股东）所拥有的独立院落或独栋楼房（大厦），得6分；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w:t>
            </w:r>
            <w:r>
              <w:rPr>
                <w:rFonts w:ascii="仿宋" w:hAnsi="仿宋" w:eastAsia="仿宋"/>
                <w:spacing w:val="-6"/>
                <w:sz w:val="24"/>
              </w:rPr>
              <w:t>4）地处4A风景名胜区或商业综合体，不具备独立的院落或独栋楼房（大厦），得4分；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w:t>
            </w:r>
            <w:r>
              <w:rPr>
                <w:rFonts w:ascii="仿宋" w:hAnsi="仿宋" w:eastAsia="仿宋"/>
                <w:spacing w:val="-6"/>
                <w:sz w:val="24"/>
              </w:rPr>
              <w:t>5）其余情况得1-4分；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rPr>
              <w:t>指定区域是指：杭州市“绕城北线——东湖高架路——通城高架路——通惠路——</w:t>
            </w:r>
            <w:r>
              <w:rPr>
                <w:rFonts w:ascii="仿宋" w:hAnsi="仿宋" w:eastAsia="仿宋"/>
                <w:spacing w:val="-6"/>
                <w:sz w:val="24"/>
              </w:rPr>
              <w:t>03省道——绕城南线——绕城西线——绕城北线”围合的区域内</w:t>
            </w:r>
          </w:p>
        </w:tc>
        <w:tc>
          <w:tcPr>
            <w:tcW w:w="3125" w:type="dxa"/>
            <w:vAlign w:val="center"/>
          </w:tcPr>
          <w:p>
            <w:pPr>
              <w:adjustRightInd w:val="0"/>
              <w:snapToGrid w:val="0"/>
              <w:ind w:firstLine="456" w:firstLineChars="200"/>
              <w:jc w:val="left"/>
              <w:rPr>
                <w:rFonts w:ascii="仿宋" w:hAnsi="仿宋" w:eastAsia="仿宋" w:cs="宋体"/>
                <w:spacing w:val="-6"/>
                <w:sz w:val="24"/>
                <w:lang w:val="zh-CN"/>
              </w:rPr>
            </w:pPr>
            <w:r>
              <w:rPr>
                <w:rFonts w:hint="eastAsia" w:ascii="仿宋" w:hAnsi="仿宋" w:eastAsia="仿宋" w:cs="宋体"/>
                <w:spacing w:val="-6"/>
                <w:sz w:val="24"/>
                <w:lang w:val="zh-CN"/>
              </w:rPr>
              <w:t>提供场所实景照片、房产证明或租赁合同等相关材料；提供4A/5A风景区证明【如：国家政务服务平台或中国景区网（网址：http://www.jingquwang.com/相关截屏】，并提供投标人处在该风景区的相关证明（如地图/景区规划图/政府部门出具的证明等）；提供商业综合体证明材料（如：政府APP、网页或微信平台发布的相关认证或报道等）。</w:t>
            </w:r>
          </w:p>
          <w:p>
            <w:pPr>
              <w:adjustRightInd w:val="0"/>
              <w:snapToGrid w:val="0"/>
              <w:ind w:firstLine="456" w:firstLineChars="200"/>
              <w:jc w:val="left"/>
              <w:rPr>
                <w:rFonts w:ascii="仿宋" w:hAnsi="仿宋" w:eastAsia="仿宋"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12</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r>
              <w:rPr>
                <w:rFonts w:ascii="仿宋" w:hAnsi="仿宋" w:eastAsia="仿宋"/>
                <w:spacing w:val="-6"/>
                <w:sz w:val="24"/>
              </w:rPr>
              <w:t>2</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体检场所：能体检</w:t>
            </w:r>
          </w:p>
        </w:tc>
        <w:tc>
          <w:tcPr>
            <w:tcW w:w="3558" w:type="dxa"/>
            <w:vAlign w:val="center"/>
          </w:tcPr>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能体检：</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（1）承诺体检套餐内所有体检项目均在同一体检场所内完成检查，得 2分；若不能在同一体检场所内完成检查，则本项（ 2分）不得分。</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（2）投标人自有“无痛胃肠镜”诊疗中心，得4分；</w:t>
            </w:r>
          </w:p>
          <w:p>
            <w:pPr>
              <w:adjustRightInd w:val="0"/>
              <w:snapToGrid w:val="0"/>
              <w:ind w:firstLine="456" w:firstLineChars="200"/>
              <w:rPr>
                <w:rFonts w:ascii="仿宋" w:hAnsi="仿宋" w:eastAsia="仿宋"/>
                <w:spacing w:val="-6"/>
                <w:sz w:val="24"/>
              </w:rPr>
            </w:pPr>
            <w:r>
              <w:rPr>
                <w:rFonts w:hint="eastAsia" w:ascii="仿宋" w:hAnsi="仿宋" w:eastAsia="仿宋"/>
                <w:spacing w:val="-6"/>
                <w:sz w:val="24"/>
                <w:lang w:val="zh-CN"/>
              </w:rPr>
              <w:t>（3）投标人自有“门诊中心及药房、睡眠呼吸监测仪、宫腔镜、</w:t>
            </w:r>
            <w:r>
              <w:rPr>
                <w:rFonts w:hint="eastAsia" w:ascii="仿宋" w:hAnsi="仿宋" w:eastAsia="仿宋"/>
                <w:spacing w:val="-6"/>
                <w:sz w:val="24"/>
                <w:lang w:val="en-US" w:eastAsia="zh-CN"/>
              </w:rPr>
              <w:t>阴道镜</w:t>
            </w:r>
            <w:r>
              <w:rPr>
                <w:rFonts w:hint="eastAsia" w:ascii="仿宋" w:hAnsi="仿宋" w:eastAsia="仿宋"/>
                <w:spacing w:val="-6"/>
                <w:sz w:val="24"/>
                <w:lang w:val="zh-CN"/>
              </w:rPr>
              <w:t>”设施设备，每有一类可得2分，最高得6分。</w:t>
            </w:r>
          </w:p>
        </w:tc>
        <w:tc>
          <w:tcPr>
            <w:tcW w:w="3125" w:type="dxa"/>
            <w:vAlign w:val="center"/>
          </w:tcPr>
          <w:p>
            <w:pPr>
              <w:pStyle w:val="10"/>
              <w:tabs>
                <w:tab w:val="left" w:pos="312"/>
              </w:tabs>
              <w:adjustRightInd w:val="0"/>
              <w:snapToGrid w:val="0"/>
              <w:spacing w:line="240" w:lineRule="auto"/>
              <w:jc w:val="left"/>
              <w:rPr>
                <w:rFonts w:hint="eastAsia" w:ascii="仿宋" w:hAnsi="仿宋" w:eastAsia="仿宋" w:cs="宋体"/>
                <w:sz w:val="24"/>
                <w:szCs w:val="24"/>
                <w:lang w:eastAsia="zh-CN"/>
              </w:rPr>
            </w:pPr>
            <w:r>
              <w:rPr>
                <w:rFonts w:hint="eastAsia" w:ascii="仿宋" w:hAnsi="仿宋" w:eastAsia="仿宋" w:cs="宋体"/>
                <w:sz w:val="24"/>
                <w:szCs w:val="24"/>
              </w:rPr>
              <w:t>提供承诺书、设备名称、数量及品牌等证明材料</w:t>
            </w:r>
            <w:r>
              <w:rPr>
                <w:rFonts w:hint="eastAsia" w:ascii="仿宋" w:hAnsi="仿宋" w:eastAsia="仿宋"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13</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8</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体检场所：可住宿</w:t>
            </w:r>
          </w:p>
        </w:tc>
        <w:tc>
          <w:tcPr>
            <w:tcW w:w="3558" w:type="dxa"/>
            <w:vAlign w:val="center"/>
          </w:tcPr>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可住宿：</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（1）具备自有客房15间及以上，且客房与体检在同一个院落、园区或大厦，得8分；</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（2）具备自有客房15间及以上，客房与体检不在同一个院落、园区或大厦，且客房与体检中心距离步行10分钟以内，得6分；</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 xml:space="preserve">（3）与其它酒店等单位合作提供客房，客房与体检在同一个院落、园区或大厦，合作酒店是高档型及以上酒店，数量不少于5家，得6分； </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（4）与其它酒店等单位合作提供客房，客房与体检不在同一个院落、园区或大厦，合作酒店是高档型及以上酒店，客房与体检中心距离步行10分钟以内，数量不少于5家，得4分。</w:t>
            </w:r>
          </w:p>
          <w:p>
            <w:pPr>
              <w:adjustRightInd w:val="0"/>
              <w:snapToGrid w:val="0"/>
              <w:ind w:firstLine="456" w:firstLineChars="200"/>
              <w:rPr>
                <w:rFonts w:ascii="仿宋" w:hAnsi="仿宋" w:eastAsia="仿宋"/>
                <w:sz w:val="24"/>
                <w:lang w:val="zh-CN"/>
              </w:rPr>
            </w:pPr>
            <w:r>
              <w:rPr>
                <w:rFonts w:hint="eastAsia" w:ascii="仿宋" w:hAnsi="仿宋" w:eastAsia="仿宋"/>
                <w:spacing w:val="-6"/>
                <w:sz w:val="24"/>
                <w:lang w:val="zh-CN"/>
              </w:rPr>
              <w:t>（5）其余情况得1-2分。</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提供场所实景照片、房产证明或租赁合同等相关材料。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14</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3</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lang w:val="zh-CN"/>
              </w:rPr>
              <w:t>体检场所：供餐饮</w:t>
            </w:r>
          </w:p>
        </w:tc>
        <w:tc>
          <w:tcPr>
            <w:tcW w:w="3558" w:type="dxa"/>
            <w:vAlign w:val="center"/>
          </w:tcPr>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供餐饮：向每位VIP客户提供免费早餐，在此基础上按以下标准计分：</w:t>
            </w:r>
          </w:p>
          <w:p>
            <w:pPr>
              <w:adjustRightInd w:val="0"/>
              <w:snapToGrid w:val="0"/>
              <w:ind w:firstLine="456" w:firstLineChars="200"/>
              <w:rPr>
                <w:rFonts w:hint="eastAsia" w:ascii="仿宋" w:hAnsi="仿宋" w:eastAsia="仿宋"/>
                <w:spacing w:val="-6"/>
                <w:sz w:val="24"/>
                <w:lang w:val="zh-CN"/>
              </w:rPr>
            </w:pPr>
            <w:r>
              <w:rPr>
                <w:rFonts w:hint="eastAsia" w:ascii="仿宋" w:hAnsi="仿宋" w:eastAsia="仿宋"/>
                <w:spacing w:val="-6"/>
                <w:sz w:val="24"/>
                <w:lang w:val="zh-CN"/>
              </w:rPr>
              <w:t>（1）通过自有餐厅提供健康养生早餐服务，且餐厅与体检在同一个院落、园区或大厦，得</w:t>
            </w:r>
            <w:r>
              <w:rPr>
                <w:rFonts w:hint="eastAsia" w:ascii="仿宋" w:hAnsi="仿宋" w:eastAsia="仿宋"/>
                <w:spacing w:val="-6"/>
                <w:sz w:val="24"/>
                <w:lang w:val="en-US" w:eastAsia="zh-CN"/>
              </w:rPr>
              <w:t>3</w:t>
            </w:r>
            <w:r>
              <w:rPr>
                <w:rFonts w:hint="eastAsia" w:ascii="仿宋" w:hAnsi="仿宋" w:eastAsia="仿宋"/>
                <w:spacing w:val="-6"/>
                <w:sz w:val="24"/>
                <w:lang w:val="zh-CN"/>
              </w:rPr>
              <w:t>分；</w:t>
            </w:r>
          </w:p>
          <w:p>
            <w:pPr>
              <w:adjustRightInd w:val="0"/>
              <w:snapToGrid w:val="0"/>
              <w:ind w:firstLine="456" w:firstLineChars="200"/>
              <w:rPr>
                <w:rFonts w:ascii="仿宋" w:hAnsi="仿宋" w:eastAsia="仿宋"/>
                <w:sz w:val="24"/>
                <w:lang w:val="zh-CN"/>
              </w:rPr>
            </w:pPr>
            <w:r>
              <w:rPr>
                <w:rFonts w:hint="eastAsia" w:ascii="仿宋" w:hAnsi="仿宋" w:eastAsia="仿宋"/>
                <w:spacing w:val="-6"/>
                <w:sz w:val="24"/>
                <w:lang w:val="zh-CN"/>
              </w:rPr>
              <w:t>（2）自有餐厅与体检不在同一个院落、园区或大厦，或与其它酒店等单位合作，提供早、中、晚的健康养生餐饮服务，得1分。</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提供自有餐厅及厨房实景照片、餐饮菜单、与合作酒店的协议等材料。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15</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8</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健康管理服务</w:t>
            </w:r>
          </w:p>
        </w:tc>
        <w:tc>
          <w:tcPr>
            <w:tcW w:w="3558" w:type="dxa"/>
            <w:vAlign w:val="center"/>
          </w:tcPr>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w:t>
            </w:r>
            <w:r>
              <w:rPr>
                <w:rFonts w:ascii="仿宋" w:hAnsi="仿宋" w:eastAsia="仿宋"/>
                <w:sz w:val="24"/>
                <w:lang w:val="zh-CN"/>
              </w:rPr>
              <w:t>1）投标人承诺同时提供以下6项服务：</w:t>
            </w:r>
          </w:p>
          <w:p>
            <w:pPr>
              <w:adjustRightInd w:val="0"/>
              <w:snapToGrid w:val="0"/>
              <w:ind w:firstLine="480" w:firstLineChars="200"/>
              <w:rPr>
                <w:rFonts w:ascii="仿宋" w:hAnsi="仿宋" w:eastAsia="仿宋"/>
                <w:sz w:val="24"/>
                <w:lang w:val="zh-CN"/>
              </w:rPr>
            </w:pPr>
            <w:r>
              <w:rPr>
                <w:rFonts w:ascii="仿宋" w:hAnsi="仿宋" w:eastAsia="仿宋"/>
                <w:sz w:val="24"/>
                <w:lang w:val="zh-CN"/>
              </w:rPr>
              <w:t>a.总体要求：配备专属资深医疗服务团队，提供全年健康管理服务,全年不低于3次的慢病管理及健康促进干预，提供专人导检服务。</w:t>
            </w:r>
          </w:p>
          <w:p>
            <w:pPr>
              <w:adjustRightInd w:val="0"/>
              <w:snapToGrid w:val="0"/>
              <w:ind w:firstLine="480" w:firstLineChars="200"/>
              <w:rPr>
                <w:rFonts w:ascii="仿宋" w:hAnsi="仿宋" w:eastAsia="仿宋"/>
                <w:sz w:val="24"/>
                <w:lang w:val="zh-CN"/>
              </w:rPr>
            </w:pPr>
            <w:r>
              <w:rPr>
                <w:rFonts w:ascii="仿宋" w:hAnsi="仿宋" w:eastAsia="仿宋"/>
                <w:sz w:val="24"/>
                <w:lang w:val="zh-CN"/>
              </w:rPr>
              <w:t>b.体检报告获取：客户体检后7-10个工作日内，能及时提供体检报告，同时短信通知客户体检报告获取时间及方式;体检报告需由副主任级以上医生审核；</w:t>
            </w:r>
          </w:p>
          <w:p>
            <w:pPr>
              <w:adjustRightInd w:val="0"/>
              <w:snapToGrid w:val="0"/>
              <w:ind w:firstLine="480" w:firstLineChars="200"/>
              <w:rPr>
                <w:rFonts w:ascii="仿宋" w:hAnsi="仿宋" w:eastAsia="仿宋"/>
                <w:sz w:val="24"/>
                <w:lang w:val="zh-CN"/>
              </w:rPr>
            </w:pPr>
            <w:r>
              <w:rPr>
                <w:rFonts w:ascii="仿宋" w:hAnsi="仿宋" w:eastAsia="仿宋"/>
                <w:sz w:val="24"/>
                <w:lang w:val="zh-CN"/>
              </w:rPr>
              <w:t>c.体检报告解读：客户收到体检报告后7-10个工作日内，医生及时致电客户或客户预约电话解读报告;客户检后也可预约医生，面诊对比解读；</w:t>
            </w:r>
          </w:p>
          <w:p>
            <w:pPr>
              <w:adjustRightInd w:val="0"/>
              <w:snapToGrid w:val="0"/>
              <w:ind w:firstLine="480" w:firstLineChars="200"/>
              <w:rPr>
                <w:rFonts w:ascii="仿宋" w:hAnsi="仿宋" w:eastAsia="仿宋"/>
                <w:sz w:val="24"/>
                <w:lang w:val="zh-CN"/>
              </w:rPr>
            </w:pPr>
            <w:r>
              <w:rPr>
                <w:rFonts w:ascii="仿宋" w:hAnsi="仿宋" w:eastAsia="仿宋"/>
                <w:sz w:val="24"/>
                <w:lang w:val="zh-CN"/>
              </w:rPr>
              <w:t>d.健康对比分析：客户第二次在服务方完成体检开始，医生解读跨年度健康状况对比分析；</w:t>
            </w:r>
          </w:p>
          <w:p>
            <w:pPr>
              <w:adjustRightInd w:val="0"/>
              <w:snapToGrid w:val="0"/>
              <w:ind w:firstLine="480" w:firstLineChars="200"/>
              <w:rPr>
                <w:rFonts w:hint="eastAsia" w:ascii="仿宋" w:hAnsi="仿宋" w:eastAsia="仿宋"/>
                <w:sz w:val="24"/>
                <w:lang w:val="zh-CN"/>
              </w:rPr>
            </w:pPr>
            <w:r>
              <w:rPr>
                <w:rFonts w:ascii="仿宋" w:hAnsi="仿宋" w:eastAsia="仿宋"/>
                <w:sz w:val="24"/>
                <w:lang w:val="zh-CN"/>
              </w:rPr>
              <w:t>e.重大事项告知：体检结果中有危重疾病、异常结果的，专业医生应第一时间联系客户，电</w:t>
            </w:r>
            <w:r>
              <w:rPr>
                <w:rFonts w:hint="eastAsia" w:ascii="仿宋" w:hAnsi="仿宋" w:eastAsia="仿宋"/>
                <w:sz w:val="24"/>
                <w:lang w:val="zh-CN"/>
              </w:rPr>
              <w:t>话详细告知客户检查结果和提供措施建议；</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f.服务热线：具备7×12小时一站式服务热线，以处理客户健康管理服务需求。</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（2）在满足（1）的6项服务要求基础上，投标人承诺提供以下服务的，按以下方式计分：</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a.投标方承诺可免费派遣医生到招标方分公司为客户解读健康报告服务的，得1分；</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b.投标方承诺可为客户个性化定制体检方案，支持客户等价替换体检套餐内的体检项目,得2分；</w:t>
            </w:r>
          </w:p>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c.自有“中医调理、三甲医院名医坐诊、国际远程会诊、心理健康咨询、线上医生问诊（互联网医院）、线上健康管理平台服务”，每自有1项可得</w:t>
            </w:r>
            <w:r>
              <w:rPr>
                <w:rFonts w:hint="eastAsia" w:ascii="仿宋" w:hAnsi="仿宋" w:eastAsia="仿宋"/>
                <w:sz w:val="24"/>
                <w:lang w:val="en-US" w:eastAsia="zh-CN"/>
              </w:rPr>
              <w:t>1</w:t>
            </w:r>
            <w:r>
              <w:rPr>
                <w:rFonts w:hint="eastAsia" w:ascii="仿宋" w:hAnsi="仿宋" w:eastAsia="仿宋"/>
                <w:sz w:val="24"/>
                <w:lang w:val="zh-CN"/>
              </w:rPr>
              <w:t>分，最高得5分。</w:t>
            </w:r>
          </w:p>
        </w:tc>
        <w:tc>
          <w:tcPr>
            <w:tcW w:w="3125" w:type="dxa"/>
            <w:vAlign w:val="center"/>
          </w:tcPr>
          <w:p>
            <w:pPr>
              <w:pStyle w:val="10"/>
              <w:adjustRightInd w:val="0"/>
              <w:snapToGrid w:val="0"/>
              <w:spacing w:line="240" w:lineRule="auto"/>
              <w:ind w:firstLine="464" w:firstLineChars="200"/>
              <w:jc w:val="left"/>
              <w:rPr>
                <w:rFonts w:hint="eastAsia" w:ascii="仿宋" w:hAnsi="仿宋" w:eastAsia="仿宋" w:cs="宋体"/>
                <w:sz w:val="24"/>
                <w:szCs w:val="24"/>
                <w:lang w:eastAsia="zh-CN"/>
              </w:rPr>
            </w:pPr>
            <w:r>
              <w:rPr>
                <w:rFonts w:hint="eastAsia" w:ascii="仿宋" w:hAnsi="仿宋" w:eastAsia="仿宋" w:cs="宋体"/>
                <w:sz w:val="24"/>
                <w:szCs w:val="24"/>
              </w:rPr>
              <w:t>提供承诺书</w:t>
            </w:r>
            <w:r>
              <w:rPr>
                <w:rFonts w:hint="eastAsia" w:ascii="仿宋" w:hAnsi="仿宋" w:eastAsia="仿宋"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16</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3</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就医绿色通道</w:t>
            </w:r>
          </w:p>
        </w:tc>
        <w:tc>
          <w:tcPr>
            <w:tcW w:w="3558" w:type="dxa"/>
            <w:vAlign w:val="center"/>
          </w:tcPr>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投标人承诺能提供至少一家杭州知名省级三甲医院（浙一、浙二、邵逸夫医院、浙江省人民医院、浙江省中医院、浙江省立同德医院）绿色就医通道，在一周内安排挂号、名医门诊、身体检查项目及一般科室住院安排，特别热门科室住院尽早安排，且不收取服务费，但绿通费（加急费）由客户承担，得2分。</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17</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仿宋" w:hAnsi="仿宋" w:eastAsia="仿宋"/>
                <w:spacing w:val="-6"/>
                <w:sz w:val="24"/>
                <w:lang w:eastAsia="zh-CN"/>
              </w:rPr>
            </w:pPr>
            <w:r>
              <w:rPr>
                <w:rFonts w:hint="eastAsia" w:ascii="仿宋" w:hAnsi="仿宋" w:eastAsia="仿宋"/>
                <w:spacing w:val="-6"/>
                <w:sz w:val="24"/>
                <w:lang w:val="en-US" w:eastAsia="zh-CN"/>
              </w:rPr>
              <w:t>3</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多功能厅</w:t>
            </w:r>
          </w:p>
        </w:tc>
        <w:tc>
          <w:tcPr>
            <w:tcW w:w="3558" w:type="dxa"/>
            <w:vAlign w:val="center"/>
          </w:tcPr>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承诺免费提供多功能厅服务，在此基础上按以下方式计分：</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（1）拥有自有活动厅，能容纳50人以上，环境舒适，得</w:t>
            </w:r>
            <w:r>
              <w:rPr>
                <w:rFonts w:hint="eastAsia" w:ascii="仿宋" w:hAnsi="仿宋" w:eastAsia="仿宋"/>
                <w:sz w:val="24"/>
                <w:lang w:val="en-US" w:eastAsia="zh-CN"/>
              </w:rPr>
              <w:t>3</w:t>
            </w:r>
            <w:r>
              <w:rPr>
                <w:rFonts w:hint="eastAsia" w:ascii="仿宋" w:hAnsi="仿宋" w:eastAsia="仿宋"/>
                <w:sz w:val="24"/>
                <w:lang w:val="zh-CN"/>
              </w:rPr>
              <w:t>分；</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（2）与其它酒店等单位合作提供活动厅，能容纳50人以上，环境舒适，得2分；</w:t>
            </w:r>
          </w:p>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（3）其余不得分。</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 xml:space="preserve">提供承诺书。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r>
              <w:rPr>
                <w:rFonts w:ascii="仿宋" w:hAnsi="仿宋" w:eastAsia="仿宋"/>
                <w:spacing w:val="-6"/>
                <w:sz w:val="24"/>
              </w:rPr>
              <w:t>8</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ascii="仿宋" w:hAnsi="仿宋" w:eastAsia="仿宋"/>
                <w:spacing w:val="-6"/>
                <w:sz w:val="24"/>
              </w:rPr>
              <w:t>3</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增值服务</w:t>
            </w:r>
          </w:p>
        </w:tc>
        <w:tc>
          <w:tcPr>
            <w:tcW w:w="3558" w:type="dxa"/>
            <w:vAlign w:val="center"/>
          </w:tcPr>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投标人能辅助采购方完成服务闭环，每一项得1分，最高可得3分。</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w:t>
            </w:r>
            <w:r>
              <w:rPr>
                <w:rFonts w:hint="eastAsia" w:ascii="仿宋" w:hAnsi="仿宋" w:eastAsia="仿宋"/>
                <w:sz w:val="24"/>
                <w:lang w:val="en-US" w:eastAsia="zh-CN"/>
              </w:rPr>
              <w:t>1</w:t>
            </w:r>
            <w:r>
              <w:rPr>
                <w:rFonts w:hint="eastAsia" w:ascii="仿宋" w:hAnsi="仿宋" w:eastAsia="仿宋"/>
                <w:sz w:val="24"/>
                <w:lang w:val="zh-CN"/>
              </w:rPr>
              <w:t>）能组织上门定制项目、集体解读；</w:t>
            </w:r>
          </w:p>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w:t>
            </w:r>
            <w:r>
              <w:rPr>
                <w:rFonts w:hint="eastAsia" w:ascii="仿宋" w:hAnsi="仿宋" w:eastAsia="仿宋"/>
                <w:sz w:val="24"/>
                <w:lang w:val="en-US" w:eastAsia="zh-CN"/>
              </w:rPr>
              <w:t>2</w:t>
            </w:r>
            <w:r>
              <w:rPr>
                <w:rFonts w:hint="eastAsia" w:ascii="仿宋" w:hAnsi="仿宋" w:eastAsia="仿宋"/>
                <w:sz w:val="24"/>
                <w:lang w:val="zh-CN"/>
              </w:rPr>
              <w:t>）能定期开展健康沙龙活动；</w:t>
            </w:r>
          </w:p>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w:t>
            </w:r>
            <w:r>
              <w:rPr>
                <w:rFonts w:hint="eastAsia" w:ascii="仿宋" w:hAnsi="仿宋" w:eastAsia="仿宋"/>
                <w:sz w:val="24"/>
                <w:lang w:val="en-US" w:eastAsia="zh-CN"/>
              </w:rPr>
              <w:t>3</w:t>
            </w:r>
            <w:r>
              <w:rPr>
                <w:rFonts w:hint="eastAsia" w:ascii="仿宋" w:hAnsi="仿宋" w:eastAsia="仿宋"/>
                <w:sz w:val="24"/>
                <w:lang w:val="zh-CN"/>
              </w:rPr>
              <w:t>）能按体检客户要求将体检报告寄送至体检客户处。</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 xml:space="preserve">提供承诺书。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3" w:type="dxa"/>
            <w:gridSpan w:val="5"/>
            <w:vAlign w:val="center"/>
          </w:tcPr>
          <w:p>
            <w:pPr>
              <w:adjustRightInd w:val="0"/>
              <w:snapToGrid w:val="0"/>
              <w:ind w:firstLine="466" w:firstLineChars="200"/>
              <w:jc w:val="left"/>
              <w:rPr>
                <w:rFonts w:ascii="仿宋" w:hAnsi="仿宋" w:eastAsia="仿宋" w:cs="宋体"/>
                <w:spacing w:val="-6"/>
                <w:sz w:val="24"/>
              </w:rPr>
            </w:pPr>
            <w:r>
              <w:rPr>
                <w:rFonts w:hint="eastAsia" w:ascii="仿宋" w:hAnsi="仿宋" w:eastAsia="仿宋" w:cs="宋体"/>
                <w:b/>
                <w:spacing w:val="-4"/>
                <w:sz w:val="24"/>
              </w:rPr>
              <w:t>价格分（10分）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r>
              <w:rPr>
                <w:rFonts w:ascii="仿宋" w:hAnsi="仿宋" w:eastAsia="仿宋"/>
                <w:spacing w:val="-6"/>
                <w:sz w:val="24"/>
              </w:rPr>
              <w:t>9</w:t>
            </w:r>
          </w:p>
        </w:tc>
        <w:tc>
          <w:tcPr>
            <w:tcW w:w="4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1</w:t>
            </w:r>
            <w:r>
              <w:rPr>
                <w:rFonts w:ascii="仿宋" w:hAnsi="仿宋" w:eastAsia="仿宋"/>
                <w:spacing w:val="-6"/>
                <w:sz w:val="24"/>
              </w:rPr>
              <w:t>0</w:t>
            </w:r>
          </w:p>
        </w:tc>
        <w:tc>
          <w:tcPr>
            <w:tcW w:w="1200" w:type="dxa"/>
            <w:vAlign w:val="center"/>
          </w:tcPr>
          <w:p>
            <w:pPr>
              <w:adjustRightInd w:val="0"/>
              <w:snapToGrid w:val="0"/>
              <w:spacing w:line="360" w:lineRule="auto"/>
              <w:jc w:val="center"/>
              <w:rPr>
                <w:rFonts w:ascii="仿宋" w:hAnsi="仿宋" w:eastAsia="仿宋"/>
                <w:spacing w:val="-6"/>
                <w:sz w:val="24"/>
              </w:rPr>
            </w:pPr>
            <w:r>
              <w:rPr>
                <w:rFonts w:hint="eastAsia" w:ascii="仿宋" w:hAnsi="仿宋" w:eastAsia="仿宋"/>
                <w:spacing w:val="-6"/>
                <w:sz w:val="24"/>
              </w:rPr>
              <w:t>价格</w:t>
            </w:r>
          </w:p>
        </w:tc>
        <w:tc>
          <w:tcPr>
            <w:tcW w:w="3558" w:type="dxa"/>
            <w:vAlign w:val="center"/>
          </w:tcPr>
          <w:p>
            <w:pPr>
              <w:adjustRightInd w:val="0"/>
              <w:snapToGrid w:val="0"/>
              <w:ind w:firstLine="480" w:firstLineChars="200"/>
              <w:rPr>
                <w:rFonts w:hint="eastAsia" w:ascii="仿宋" w:hAnsi="仿宋" w:eastAsia="仿宋"/>
                <w:sz w:val="24"/>
                <w:lang w:val="zh-CN"/>
              </w:rPr>
            </w:pPr>
            <w:r>
              <w:rPr>
                <w:rFonts w:hint="eastAsia" w:ascii="仿宋" w:hAnsi="仿宋" w:eastAsia="仿宋"/>
                <w:sz w:val="24"/>
                <w:lang w:val="zh-CN"/>
              </w:rPr>
              <w:t>价格分采用低价优先法计算，即满足招标文件要求且投标价格最低的投标报价为评标基准价，其价格分为满分。其他投标人的价格分按照下列公式计算：</w:t>
            </w:r>
          </w:p>
          <w:p>
            <w:pPr>
              <w:adjustRightInd w:val="0"/>
              <w:snapToGrid w:val="0"/>
              <w:ind w:firstLine="480" w:firstLineChars="200"/>
              <w:rPr>
                <w:rFonts w:ascii="仿宋" w:hAnsi="仿宋" w:eastAsia="仿宋"/>
                <w:sz w:val="24"/>
                <w:lang w:val="zh-CN"/>
              </w:rPr>
            </w:pPr>
            <w:r>
              <w:rPr>
                <w:rFonts w:hint="eastAsia" w:ascii="仿宋" w:hAnsi="仿宋" w:eastAsia="仿宋"/>
                <w:sz w:val="24"/>
                <w:lang w:val="zh-CN"/>
              </w:rPr>
              <w:t>价格分=（评标基准价/投标报价）× 10%×100</w:t>
            </w:r>
          </w:p>
        </w:tc>
        <w:tc>
          <w:tcPr>
            <w:tcW w:w="3125" w:type="dxa"/>
            <w:vAlign w:val="center"/>
          </w:tcPr>
          <w:p>
            <w:pPr>
              <w:adjustRightInd w:val="0"/>
              <w:snapToGrid w:val="0"/>
              <w:ind w:firstLine="456" w:firstLineChars="200"/>
              <w:jc w:val="left"/>
              <w:rPr>
                <w:rFonts w:ascii="仿宋" w:hAnsi="仿宋" w:eastAsia="仿宋" w:cs="宋体"/>
                <w:spacing w:val="-6"/>
                <w:sz w:val="24"/>
              </w:rPr>
            </w:pPr>
            <w:r>
              <w:rPr>
                <w:rFonts w:hint="eastAsia" w:ascii="仿宋" w:hAnsi="仿宋" w:eastAsia="仿宋" w:cs="宋体"/>
                <w:spacing w:val="-6"/>
                <w:sz w:val="24"/>
                <w:lang w:val="zh-CN"/>
              </w:rPr>
              <w:t>报价。</w:t>
            </w:r>
          </w:p>
        </w:tc>
      </w:tr>
    </w:tbl>
    <w:p>
      <w:pPr>
        <w:pStyle w:val="10"/>
        <w:adjustRightInd w:val="0"/>
        <w:snapToGrid w:val="0"/>
        <w:spacing w:line="360" w:lineRule="auto"/>
        <w:ind w:firstLine="0"/>
        <w:rPr>
          <w:rFonts w:ascii="宋体" w:hAnsi="宋体" w:eastAsia="宋体"/>
          <w:spacing w:val="0"/>
          <w:sz w:val="21"/>
          <w:szCs w:val="24"/>
        </w:rPr>
      </w:pPr>
    </w:p>
    <w:p>
      <w:pPr>
        <w:pStyle w:val="10"/>
        <w:adjustRightInd w:val="0"/>
        <w:snapToGrid w:val="0"/>
        <w:spacing w:line="360" w:lineRule="auto"/>
        <w:ind w:firstLine="0"/>
      </w:pPr>
    </w:p>
    <w:p>
      <w:pPr>
        <w:adjustRightInd w:val="0"/>
        <w:snapToGrid w:val="0"/>
        <w:spacing w:line="360" w:lineRule="auto"/>
        <w:rPr>
          <w:rFonts w:ascii="仿宋" w:hAnsi="仿宋" w:eastAsia="仿宋"/>
          <w:sz w:val="24"/>
        </w:rPr>
      </w:pPr>
      <w:r>
        <w:rPr>
          <w:rFonts w:hint="eastAsia" w:ascii="仿宋" w:hAnsi="仿宋" w:eastAsia="仿宋"/>
          <w:sz w:val="24"/>
        </w:rPr>
        <w:t>评标内容及标准：</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本次评标采用综合评分法，总分为</w:t>
      </w:r>
      <w:r>
        <w:rPr>
          <w:rFonts w:ascii="仿宋" w:hAnsi="仿宋" w:eastAsia="仿宋"/>
          <w:sz w:val="24"/>
        </w:rPr>
        <w:t>100分。投标文件满足招标文件全部实质性要求，且综合评审得分最高的投标人为中标候选人。每一投标人的最终得分是所有评审人员给其评分的算术平均值（精确到小数点后2位）。然后按照投标人最终得分由高到低的顺序排列。若投标人得分相同时，按照投标报价由低到高的顺序排列，均相同的，采用随机抽取方式确定。</w:t>
      </w:r>
    </w:p>
    <w:p>
      <w:pPr>
        <w:adjustRightInd w:val="0"/>
        <w:snapToGrid w:val="0"/>
        <w:spacing w:line="360" w:lineRule="auto"/>
        <w:rPr>
          <w:rFonts w:ascii="仿宋" w:hAnsi="仿宋" w:eastAsia="仿宋"/>
          <w:sz w:val="24"/>
        </w:rPr>
      </w:pPr>
      <w:r>
        <w:rPr>
          <w:rFonts w:hint="eastAsia" w:ascii="仿宋" w:hAnsi="仿宋" w:eastAsia="仿宋"/>
          <w:sz w:val="24"/>
        </w:rPr>
        <w:t>评分过程中采用四舍五入法，并保留小数</w:t>
      </w:r>
      <w:r>
        <w:rPr>
          <w:rFonts w:ascii="仿宋" w:hAnsi="仿宋" w:eastAsia="仿宋"/>
          <w:sz w:val="24"/>
        </w:rPr>
        <w:t>2位。</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投标人评标综合得分</w:t>
      </w:r>
      <w:r>
        <w:rPr>
          <w:rFonts w:ascii="仿宋" w:hAnsi="仿宋" w:eastAsia="仿宋"/>
          <w:sz w:val="24"/>
        </w:rPr>
        <w:t>=商务分+技术分+价格分</w:t>
      </w:r>
      <w:r>
        <w:rPr>
          <w:rFonts w:hint="eastAsia" w:ascii="仿宋" w:hAnsi="仿宋" w:eastAsia="仿宋"/>
          <w:sz w:val="24"/>
        </w:rPr>
        <w:t xml:space="preserve"> </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商务和技术分按照评标委员会成员的独立评分结果的算术平均分计算，计算公式为：商务分、技术分</w:t>
      </w:r>
      <w:r>
        <w:rPr>
          <w:rFonts w:ascii="仿宋" w:hAnsi="仿宋" w:eastAsia="仿宋"/>
          <w:sz w:val="24"/>
        </w:rPr>
        <w:t>=（评标委员会所有成员评分合计数）/（评标委员会组成人员数）</w:t>
      </w:r>
    </w:p>
    <w:sectPr>
      <w:footerReference r:id="rId5" w:type="default"/>
      <w:pgSz w:w="11906" w:h="16838"/>
      <w:pgMar w:top="1240" w:right="1633" w:bottom="1440" w:left="163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8FAF5"/>
    <w:multiLevelType w:val="singleLevel"/>
    <w:tmpl w:val="46D8FAF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ODZjZDQ0YWI1OTMyOWM5N2NjZjZmZDFiMWQ1ZTAifQ=="/>
  </w:docVars>
  <w:rsids>
    <w:rsidRoot w:val="66E36829"/>
    <w:rsid w:val="005A64C6"/>
    <w:rsid w:val="006F2AAA"/>
    <w:rsid w:val="009A730C"/>
    <w:rsid w:val="00A33888"/>
    <w:rsid w:val="00AB6725"/>
    <w:rsid w:val="00BC2D44"/>
    <w:rsid w:val="010C12B0"/>
    <w:rsid w:val="0119565C"/>
    <w:rsid w:val="01287E75"/>
    <w:rsid w:val="01345E86"/>
    <w:rsid w:val="01BD0368"/>
    <w:rsid w:val="01C16D6E"/>
    <w:rsid w:val="01F53D45"/>
    <w:rsid w:val="01F739C5"/>
    <w:rsid w:val="02734614"/>
    <w:rsid w:val="02EC685C"/>
    <w:rsid w:val="0314091A"/>
    <w:rsid w:val="03194DA1"/>
    <w:rsid w:val="033D1ADE"/>
    <w:rsid w:val="03607EC0"/>
    <w:rsid w:val="03C03C2E"/>
    <w:rsid w:val="03FE6319"/>
    <w:rsid w:val="041462BE"/>
    <w:rsid w:val="04367AF8"/>
    <w:rsid w:val="04A868B4"/>
    <w:rsid w:val="04C40660"/>
    <w:rsid w:val="057161FA"/>
    <w:rsid w:val="05910CAE"/>
    <w:rsid w:val="05FB615F"/>
    <w:rsid w:val="063D244B"/>
    <w:rsid w:val="06A7720E"/>
    <w:rsid w:val="07306C09"/>
    <w:rsid w:val="074E358D"/>
    <w:rsid w:val="075317E7"/>
    <w:rsid w:val="077F3D5C"/>
    <w:rsid w:val="078401E4"/>
    <w:rsid w:val="07CC05D8"/>
    <w:rsid w:val="082202D1"/>
    <w:rsid w:val="08444D9F"/>
    <w:rsid w:val="08876B0D"/>
    <w:rsid w:val="08F438BE"/>
    <w:rsid w:val="096D1716"/>
    <w:rsid w:val="09C0577C"/>
    <w:rsid w:val="0A627318"/>
    <w:rsid w:val="0A945568"/>
    <w:rsid w:val="0AA97A48"/>
    <w:rsid w:val="0AFC1A95"/>
    <w:rsid w:val="0B063B40"/>
    <w:rsid w:val="0B7C6479"/>
    <w:rsid w:val="0BDD4606"/>
    <w:rsid w:val="0C663265"/>
    <w:rsid w:val="0CBE38F4"/>
    <w:rsid w:val="0D12337E"/>
    <w:rsid w:val="0D5D37FD"/>
    <w:rsid w:val="0D635ADA"/>
    <w:rsid w:val="0D7E2423"/>
    <w:rsid w:val="0DD901E8"/>
    <w:rsid w:val="0DDB664A"/>
    <w:rsid w:val="0E064F10"/>
    <w:rsid w:val="0E1651AA"/>
    <w:rsid w:val="0E7F1356"/>
    <w:rsid w:val="0EE3107B"/>
    <w:rsid w:val="0F0260AC"/>
    <w:rsid w:val="0F0C223F"/>
    <w:rsid w:val="0FBB32DC"/>
    <w:rsid w:val="0FC306E9"/>
    <w:rsid w:val="0FD6518B"/>
    <w:rsid w:val="0FF756C0"/>
    <w:rsid w:val="104E0A0A"/>
    <w:rsid w:val="10545A59"/>
    <w:rsid w:val="10663775"/>
    <w:rsid w:val="10726ACE"/>
    <w:rsid w:val="10CC699D"/>
    <w:rsid w:val="11285A31"/>
    <w:rsid w:val="119202CC"/>
    <w:rsid w:val="11D65607"/>
    <w:rsid w:val="11FE0013"/>
    <w:rsid w:val="12132537"/>
    <w:rsid w:val="12525F8D"/>
    <w:rsid w:val="12903B38"/>
    <w:rsid w:val="13927D07"/>
    <w:rsid w:val="13FF2FDC"/>
    <w:rsid w:val="141C038E"/>
    <w:rsid w:val="141C258C"/>
    <w:rsid w:val="145400DE"/>
    <w:rsid w:val="14827D32"/>
    <w:rsid w:val="14BD4128"/>
    <w:rsid w:val="15166027"/>
    <w:rsid w:val="155B0D1A"/>
    <w:rsid w:val="156C2CA5"/>
    <w:rsid w:val="156F1F39"/>
    <w:rsid w:val="15C02C3D"/>
    <w:rsid w:val="161C7AD3"/>
    <w:rsid w:val="163B6357"/>
    <w:rsid w:val="16757268"/>
    <w:rsid w:val="167F1D76"/>
    <w:rsid w:val="175A4F5C"/>
    <w:rsid w:val="175C045F"/>
    <w:rsid w:val="178847A7"/>
    <w:rsid w:val="17F02ED1"/>
    <w:rsid w:val="17F10953"/>
    <w:rsid w:val="181F1822"/>
    <w:rsid w:val="186049D2"/>
    <w:rsid w:val="18D0303E"/>
    <w:rsid w:val="192148C8"/>
    <w:rsid w:val="1960129A"/>
    <w:rsid w:val="19E24986"/>
    <w:rsid w:val="19F15CBB"/>
    <w:rsid w:val="1AE47A2C"/>
    <w:rsid w:val="1B125078"/>
    <w:rsid w:val="1B795D21"/>
    <w:rsid w:val="1C0F7519"/>
    <w:rsid w:val="1C125A50"/>
    <w:rsid w:val="1C9B7998"/>
    <w:rsid w:val="1CDD0E6C"/>
    <w:rsid w:val="1CDF0AEB"/>
    <w:rsid w:val="1D0943C1"/>
    <w:rsid w:val="1D552DD9"/>
    <w:rsid w:val="1DA63CFB"/>
    <w:rsid w:val="1DBD04DA"/>
    <w:rsid w:val="1DC345E1"/>
    <w:rsid w:val="1E0C0259"/>
    <w:rsid w:val="1E696F15"/>
    <w:rsid w:val="1E8659A4"/>
    <w:rsid w:val="1EA50E3F"/>
    <w:rsid w:val="1EED664D"/>
    <w:rsid w:val="1F4E1B6A"/>
    <w:rsid w:val="1F502E6E"/>
    <w:rsid w:val="1FA44AF7"/>
    <w:rsid w:val="2014062E"/>
    <w:rsid w:val="20A54F0F"/>
    <w:rsid w:val="20C03FCA"/>
    <w:rsid w:val="20DC38FA"/>
    <w:rsid w:val="2141581D"/>
    <w:rsid w:val="214B55E9"/>
    <w:rsid w:val="21A53343"/>
    <w:rsid w:val="21CE2E82"/>
    <w:rsid w:val="2284712E"/>
    <w:rsid w:val="22E174C7"/>
    <w:rsid w:val="23110016"/>
    <w:rsid w:val="2370140F"/>
    <w:rsid w:val="23CB4EC6"/>
    <w:rsid w:val="23E45DF0"/>
    <w:rsid w:val="23FF441C"/>
    <w:rsid w:val="24044127"/>
    <w:rsid w:val="240927AD"/>
    <w:rsid w:val="24EE1B26"/>
    <w:rsid w:val="25415D2D"/>
    <w:rsid w:val="25493047"/>
    <w:rsid w:val="25A043BD"/>
    <w:rsid w:val="25A34ACC"/>
    <w:rsid w:val="25BC3478"/>
    <w:rsid w:val="264754A6"/>
    <w:rsid w:val="26645F6F"/>
    <w:rsid w:val="26711CA2"/>
    <w:rsid w:val="26AF5F03"/>
    <w:rsid w:val="26B3018D"/>
    <w:rsid w:val="27A25926"/>
    <w:rsid w:val="2876586F"/>
    <w:rsid w:val="28CC407F"/>
    <w:rsid w:val="28DD6518"/>
    <w:rsid w:val="291640F4"/>
    <w:rsid w:val="29176DA6"/>
    <w:rsid w:val="298015A5"/>
    <w:rsid w:val="29AC36EE"/>
    <w:rsid w:val="29B73C7D"/>
    <w:rsid w:val="29D51CC3"/>
    <w:rsid w:val="29FF3EEB"/>
    <w:rsid w:val="2A6B4A25"/>
    <w:rsid w:val="2A6E122D"/>
    <w:rsid w:val="2A866380"/>
    <w:rsid w:val="2ACA60C4"/>
    <w:rsid w:val="2AD640D4"/>
    <w:rsid w:val="2AF23A05"/>
    <w:rsid w:val="2AF77E8C"/>
    <w:rsid w:val="2B226752"/>
    <w:rsid w:val="2B29322A"/>
    <w:rsid w:val="2BC17555"/>
    <w:rsid w:val="2BC82763"/>
    <w:rsid w:val="2C285924"/>
    <w:rsid w:val="2C6778EC"/>
    <w:rsid w:val="2C9E14C2"/>
    <w:rsid w:val="2D79212A"/>
    <w:rsid w:val="2D861917"/>
    <w:rsid w:val="2DD33ABD"/>
    <w:rsid w:val="2E65192A"/>
    <w:rsid w:val="2ED33660"/>
    <w:rsid w:val="2F074DB3"/>
    <w:rsid w:val="2F0F21C0"/>
    <w:rsid w:val="2F134449"/>
    <w:rsid w:val="2F56346D"/>
    <w:rsid w:val="2F964A23"/>
    <w:rsid w:val="2FAB1145"/>
    <w:rsid w:val="2FD00080"/>
    <w:rsid w:val="2FD44507"/>
    <w:rsid w:val="2FFC43C7"/>
    <w:rsid w:val="30047A21"/>
    <w:rsid w:val="30332322"/>
    <w:rsid w:val="30792A97"/>
    <w:rsid w:val="30B53642"/>
    <w:rsid w:val="30C879F9"/>
    <w:rsid w:val="30D46628"/>
    <w:rsid w:val="30E730CB"/>
    <w:rsid w:val="312C253A"/>
    <w:rsid w:val="314865E7"/>
    <w:rsid w:val="31890F72"/>
    <w:rsid w:val="31964168"/>
    <w:rsid w:val="31A9281E"/>
    <w:rsid w:val="3209121A"/>
    <w:rsid w:val="32242AD2"/>
    <w:rsid w:val="32410D7E"/>
    <w:rsid w:val="32BA0A47"/>
    <w:rsid w:val="32C37971"/>
    <w:rsid w:val="32D65740"/>
    <w:rsid w:val="32E81310"/>
    <w:rsid w:val="332F429B"/>
    <w:rsid w:val="334141A4"/>
    <w:rsid w:val="335A4BCB"/>
    <w:rsid w:val="339F1FBF"/>
    <w:rsid w:val="346B00EF"/>
    <w:rsid w:val="349E0A94"/>
    <w:rsid w:val="3566192B"/>
    <w:rsid w:val="356A4AAD"/>
    <w:rsid w:val="357353BD"/>
    <w:rsid w:val="359A0929"/>
    <w:rsid w:val="35E57C7A"/>
    <w:rsid w:val="35EF13B7"/>
    <w:rsid w:val="36314876"/>
    <w:rsid w:val="36900113"/>
    <w:rsid w:val="370A6758"/>
    <w:rsid w:val="379231B9"/>
    <w:rsid w:val="37A23453"/>
    <w:rsid w:val="37B833F9"/>
    <w:rsid w:val="37B855F7"/>
    <w:rsid w:val="37DF32B8"/>
    <w:rsid w:val="382175A5"/>
    <w:rsid w:val="38A677FE"/>
    <w:rsid w:val="38B72A3C"/>
    <w:rsid w:val="38D160C4"/>
    <w:rsid w:val="38D34E4A"/>
    <w:rsid w:val="394B380F"/>
    <w:rsid w:val="3958053E"/>
    <w:rsid w:val="396778BC"/>
    <w:rsid w:val="39A3641C"/>
    <w:rsid w:val="39E776F9"/>
    <w:rsid w:val="3A1A5E71"/>
    <w:rsid w:val="3A1B446C"/>
    <w:rsid w:val="3A620DD9"/>
    <w:rsid w:val="3A6441F2"/>
    <w:rsid w:val="3A705B70"/>
    <w:rsid w:val="3A9C72FF"/>
    <w:rsid w:val="3AE628AC"/>
    <w:rsid w:val="3B044D5F"/>
    <w:rsid w:val="3B3B0ABC"/>
    <w:rsid w:val="3B770BEE"/>
    <w:rsid w:val="3B7B7C8B"/>
    <w:rsid w:val="3BA44C68"/>
    <w:rsid w:val="3BD72EE0"/>
    <w:rsid w:val="3C111F05"/>
    <w:rsid w:val="3C772EA8"/>
    <w:rsid w:val="3CAE4054"/>
    <w:rsid w:val="3CBA2232"/>
    <w:rsid w:val="3CC86FC9"/>
    <w:rsid w:val="3CF75FF2"/>
    <w:rsid w:val="3D0E6439"/>
    <w:rsid w:val="3D1D638F"/>
    <w:rsid w:val="3D3717FB"/>
    <w:rsid w:val="3D521ADA"/>
    <w:rsid w:val="3D646E47"/>
    <w:rsid w:val="3D6E232F"/>
    <w:rsid w:val="3D8B1285"/>
    <w:rsid w:val="3E2204FF"/>
    <w:rsid w:val="3E4E4FD7"/>
    <w:rsid w:val="3E6469EA"/>
    <w:rsid w:val="3E6E72FA"/>
    <w:rsid w:val="3EB62F71"/>
    <w:rsid w:val="3EC9670E"/>
    <w:rsid w:val="3ED85E4E"/>
    <w:rsid w:val="3F5723B0"/>
    <w:rsid w:val="3F886AD6"/>
    <w:rsid w:val="3F916157"/>
    <w:rsid w:val="3FB57611"/>
    <w:rsid w:val="3FFD0D04"/>
    <w:rsid w:val="400C38A3"/>
    <w:rsid w:val="40245FE4"/>
    <w:rsid w:val="406B6A21"/>
    <w:rsid w:val="407F5DE0"/>
    <w:rsid w:val="40BA2742"/>
    <w:rsid w:val="40CC5EDF"/>
    <w:rsid w:val="41313685"/>
    <w:rsid w:val="413D3C14"/>
    <w:rsid w:val="414C1CB1"/>
    <w:rsid w:val="415B15A7"/>
    <w:rsid w:val="418D051C"/>
    <w:rsid w:val="41C041EE"/>
    <w:rsid w:val="41EE3A38"/>
    <w:rsid w:val="42B424FC"/>
    <w:rsid w:val="432D6943"/>
    <w:rsid w:val="434D13F6"/>
    <w:rsid w:val="435E7112"/>
    <w:rsid w:val="4365451E"/>
    <w:rsid w:val="4389125B"/>
    <w:rsid w:val="43931B6A"/>
    <w:rsid w:val="44242F80"/>
    <w:rsid w:val="4462019C"/>
    <w:rsid w:val="44741212"/>
    <w:rsid w:val="447943E7"/>
    <w:rsid w:val="44993616"/>
    <w:rsid w:val="450929D1"/>
    <w:rsid w:val="45236DFE"/>
    <w:rsid w:val="454372FA"/>
    <w:rsid w:val="45440C4D"/>
    <w:rsid w:val="45921630"/>
    <w:rsid w:val="459855B4"/>
    <w:rsid w:val="460B5A77"/>
    <w:rsid w:val="468E6050"/>
    <w:rsid w:val="46E4575A"/>
    <w:rsid w:val="46E644E0"/>
    <w:rsid w:val="46FA1118"/>
    <w:rsid w:val="47457D7D"/>
    <w:rsid w:val="47C27346"/>
    <w:rsid w:val="47C273DB"/>
    <w:rsid w:val="47DE7093"/>
    <w:rsid w:val="47E82E09"/>
    <w:rsid w:val="483134FE"/>
    <w:rsid w:val="48713C67"/>
    <w:rsid w:val="4886585B"/>
    <w:rsid w:val="48E07B1E"/>
    <w:rsid w:val="492A0E97"/>
    <w:rsid w:val="49896CB2"/>
    <w:rsid w:val="49B358F8"/>
    <w:rsid w:val="49BF718C"/>
    <w:rsid w:val="4A4260BE"/>
    <w:rsid w:val="4A547680"/>
    <w:rsid w:val="4A952667"/>
    <w:rsid w:val="4A9F427C"/>
    <w:rsid w:val="4B37368A"/>
    <w:rsid w:val="4B3E2E80"/>
    <w:rsid w:val="4B552AA6"/>
    <w:rsid w:val="4B951311"/>
    <w:rsid w:val="4B955A8D"/>
    <w:rsid w:val="4BBD11D0"/>
    <w:rsid w:val="4BF24206"/>
    <w:rsid w:val="4BF87D30"/>
    <w:rsid w:val="4BFB0CB5"/>
    <w:rsid w:val="4C841BE8"/>
    <w:rsid w:val="4C9F17C3"/>
    <w:rsid w:val="4CC43F81"/>
    <w:rsid w:val="4CC74F06"/>
    <w:rsid w:val="4D4255CC"/>
    <w:rsid w:val="4D7D140D"/>
    <w:rsid w:val="4D935553"/>
    <w:rsid w:val="4DC829C8"/>
    <w:rsid w:val="4E01460E"/>
    <w:rsid w:val="4EB124A8"/>
    <w:rsid w:val="4F081720"/>
    <w:rsid w:val="4F1521CC"/>
    <w:rsid w:val="4F1560AE"/>
    <w:rsid w:val="4F1756CF"/>
    <w:rsid w:val="4F3D590F"/>
    <w:rsid w:val="4FAE4949"/>
    <w:rsid w:val="504B054B"/>
    <w:rsid w:val="50BB5D80"/>
    <w:rsid w:val="50BE7127"/>
    <w:rsid w:val="50E23A41"/>
    <w:rsid w:val="51024C97"/>
    <w:rsid w:val="51B727A0"/>
    <w:rsid w:val="528F4FD6"/>
    <w:rsid w:val="52AE1A33"/>
    <w:rsid w:val="52BE1CCD"/>
    <w:rsid w:val="530D52D0"/>
    <w:rsid w:val="530F4056"/>
    <w:rsid w:val="53813090"/>
    <w:rsid w:val="53A5061D"/>
    <w:rsid w:val="53AD73D7"/>
    <w:rsid w:val="53C63391"/>
    <w:rsid w:val="53FC1327"/>
    <w:rsid w:val="54470F13"/>
    <w:rsid w:val="54B8530B"/>
    <w:rsid w:val="55145EB9"/>
    <w:rsid w:val="55440772"/>
    <w:rsid w:val="55760C1C"/>
    <w:rsid w:val="558C0B67"/>
    <w:rsid w:val="55B058A3"/>
    <w:rsid w:val="55B442A9"/>
    <w:rsid w:val="5612303A"/>
    <w:rsid w:val="56237DE0"/>
    <w:rsid w:val="563B6407"/>
    <w:rsid w:val="56582839"/>
    <w:rsid w:val="56761DE9"/>
    <w:rsid w:val="567C5415"/>
    <w:rsid w:val="56BB705A"/>
    <w:rsid w:val="56E65920"/>
    <w:rsid w:val="56E733A1"/>
    <w:rsid w:val="571C2577"/>
    <w:rsid w:val="57283E0B"/>
    <w:rsid w:val="574C0B47"/>
    <w:rsid w:val="5763076D"/>
    <w:rsid w:val="57CC5A00"/>
    <w:rsid w:val="57FC7666"/>
    <w:rsid w:val="58526879"/>
    <w:rsid w:val="58CA0FB8"/>
    <w:rsid w:val="58D376F6"/>
    <w:rsid w:val="58DE0CCA"/>
    <w:rsid w:val="592616D2"/>
    <w:rsid w:val="592C35DC"/>
    <w:rsid w:val="59481742"/>
    <w:rsid w:val="59B37952"/>
    <w:rsid w:val="59DA247B"/>
    <w:rsid w:val="5A1F6067"/>
    <w:rsid w:val="5A3E471D"/>
    <w:rsid w:val="5A401E1F"/>
    <w:rsid w:val="5A671CDE"/>
    <w:rsid w:val="5AB96265"/>
    <w:rsid w:val="5B184080"/>
    <w:rsid w:val="5B20148D"/>
    <w:rsid w:val="5B9723D0"/>
    <w:rsid w:val="5BB167FD"/>
    <w:rsid w:val="5BE03AC9"/>
    <w:rsid w:val="5C140AA0"/>
    <w:rsid w:val="5C156522"/>
    <w:rsid w:val="5C692729"/>
    <w:rsid w:val="5C875122"/>
    <w:rsid w:val="5CFB7A99"/>
    <w:rsid w:val="5CFF3F21"/>
    <w:rsid w:val="5D1C12D3"/>
    <w:rsid w:val="5D487B98"/>
    <w:rsid w:val="5D4A529A"/>
    <w:rsid w:val="5D81718D"/>
    <w:rsid w:val="5DA324D7"/>
    <w:rsid w:val="5DB65C4E"/>
    <w:rsid w:val="5DC529E5"/>
    <w:rsid w:val="5E331AC3"/>
    <w:rsid w:val="5E4E4EC8"/>
    <w:rsid w:val="5E5A2ED9"/>
    <w:rsid w:val="5EA72FD8"/>
    <w:rsid w:val="5EE04437"/>
    <w:rsid w:val="5EF06C4F"/>
    <w:rsid w:val="5F6A5C09"/>
    <w:rsid w:val="5F705542"/>
    <w:rsid w:val="5F744CAA"/>
    <w:rsid w:val="5F9E5AEE"/>
    <w:rsid w:val="5FE200CF"/>
    <w:rsid w:val="606467B1"/>
    <w:rsid w:val="60A4759A"/>
    <w:rsid w:val="60D14BE6"/>
    <w:rsid w:val="611E4CE6"/>
    <w:rsid w:val="611F6EE4"/>
    <w:rsid w:val="61B73BDF"/>
    <w:rsid w:val="62483F39"/>
    <w:rsid w:val="62572464"/>
    <w:rsid w:val="62805827"/>
    <w:rsid w:val="62D50B34"/>
    <w:rsid w:val="62DB04BF"/>
    <w:rsid w:val="62F77BF4"/>
    <w:rsid w:val="634F29FC"/>
    <w:rsid w:val="63590D8D"/>
    <w:rsid w:val="63CB7DC7"/>
    <w:rsid w:val="64243F39"/>
    <w:rsid w:val="65694370"/>
    <w:rsid w:val="659C0042"/>
    <w:rsid w:val="65A74CE3"/>
    <w:rsid w:val="65DD27C5"/>
    <w:rsid w:val="664107D0"/>
    <w:rsid w:val="66464C58"/>
    <w:rsid w:val="668F6351"/>
    <w:rsid w:val="66E36829"/>
    <w:rsid w:val="66F66FFA"/>
    <w:rsid w:val="672C74D4"/>
    <w:rsid w:val="676A22F4"/>
    <w:rsid w:val="677456CA"/>
    <w:rsid w:val="6775534A"/>
    <w:rsid w:val="677E01D8"/>
    <w:rsid w:val="67CF2561"/>
    <w:rsid w:val="681A234A"/>
    <w:rsid w:val="684C792C"/>
    <w:rsid w:val="68500530"/>
    <w:rsid w:val="6861624C"/>
    <w:rsid w:val="686E7119"/>
    <w:rsid w:val="687362FC"/>
    <w:rsid w:val="68843F97"/>
    <w:rsid w:val="68883F0D"/>
    <w:rsid w:val="68C835DF"/>
    <w:rsid w:val="691724F7"/>
    <w:rsid w:val="698C24B6"/>
    <w:rsid w:val="69904FC4"/>
    <w:rsid w:val="6A0C1B0B"/>
    <w:rsid w:val="6A9759D7"/>
    <w:rsid w:val="6AF20F6E"/>
    <w:rsid w:val="6B01589B"/>
    <w:rsid w:val="6B180D44"/>
    <w:rsid w:val="6B352872"/>
    <w:rsid w:val="6BEA4C24"/>
    <w:rsid w:val="6BF5162B"/>
    <w:rsid w:val="6BFD22BB"/>
    <w:rsid w:val="6C37119B"/>
    <w:rsid w:val="6C9B563C"/>
    <w:rsid w:val="6CD7419C"/>
    <w:rsid w:val="6D162D88"/>
    <w:rsid w:val="6D1856D2"/>
    <w:rsid w:val="6D660588"/>
    <w:rsid w:val="6D6D5995"/>
    <w:rsid w:val="6D7A7229"/>
    <w:rsid w:val="6DCD688D"/>
    <w:rsid w:val="6DCF7FB8"/>
    <w:rsid w:val="6DDE6F4D"/>
    <w:rsid w:val="6E1319A6"/>
    <w:rsid w:val="6E584699"/>
    <w:rsid w:val="6E720A08"/>
    <w:rsid w:val="6EC304C5"/>
    <w:rsid w:val="6EDC35ED"/>
    <w:rsid w:val="6EDE6AF0"/>
    <w:rsid w:val="6EE636AF"/>
    <w:rsid w:val="6F000329"/>
    <w:rsid w:val="6F125A01"/>
    <w:rsid w:val="6F3B4C8B"/>
    <w:rsid w:val="6F424616"/>
    <w:rsid w:val="6FB600B5"/>
    <w:rsid w:val="6FE2091C"/>
    <w:rsid w:val="6FF269B8"/>
    <w:rsid w:val="6FF51B3B"/>
    <w:rsid w:val="70601E15"/>
    <w:rsid w:val="706978FC"/>
    <w:rsid w:val="70F4421A"/>
    <w:rsid w:val="71845ACA"/>
    <w:rsid w:val="71974AEA"/>
    <w:rsid w:val="71CF4C44"/>
    <w:rsid w:val="71FE13A2"/>
    <w:rsid w:val="72275593"/>
    <w:rsid w:val="722E6CAC"/>
    <w:rsid w:val="72936A0F"/>
    <w:rsid w:val="729C0B15"/>
    <w:rsid w:val="72A74928"/>
    <w:rsid w:val="72EA72FF"/>
    <w:rsid w:val="736B3EA1"/>
    <w:rsid w:val="737407F8"/>
    <w:rsid w:val="737F6B89"/>
    <w:rsid w:val="738B299C"/>
    <w:rsid w:val="740C41EF"/>
    <w:rsid w:val="74666E87"/>
    <w:rsid w:val="749850D8"/>
    <w:rsid w:val="74A5696C"/>
    <w:rsid w:val="74E41CD4"/>
    <w:rsid w:val="750D5096"/>
    <w:rsid w:val="75173427"/>
    <w:rsid w:val="7522503C"/>
    <w:rsid w:val="75F00F0C"/>
    <w:rsid w:val="76077CC8"/>
    <w:rsid w:val="764C2C6E"/>
    <w:rsid w:val="76B80955"/>
    <w:rsid w:val="76F00AAF"/>
    <w:rsid w:val="770167CB"/>
    <w:rsid w:val="771C067A"/>
    <w:rsid w:val="771D60FB"/>
    <w:rsid w:val="772E316F"/>
    <w:rsid w:val="77476F3F"/>
    <w:rsid w:val="775A5F60"/>
    <w:rsid w:val="775B39E2"/>
    <w:rsid w:val="77663F71"/>
    <w:rsid w:val="77D67AA8"/>
    <w:rsid w:val="781B279B"/>
    <w:rsid w:val="782A6B60"/>
    <w:rsid w:val="78A82686"/>
    <w:rsid w:val="78B26191"/>
    <w:rsid w:val="78B75E9C"/>
    <w:rsid w:val="78CC4B3D"/>
    <w:rsid w:val="791F0D44"/>
    <w:rsid w:val="79214247"/>
    <w:rsid w:val="792B03DA"/>
    <w:rsid w:val="79645FB5"/>
    <w:rsid w:val="7967694A"/>
    <w:rsid w:val="7AC13CF3"/>
    <w:rsid w:val="7B082420"/>
    <w:rsid w:val="7B250870"/>
    <w:rsid w:val="7B3152AC"/>
    <w:rsid w:val="7B384C36"/>
    <w:rsid w:val="7B551FE8"/>
    <w:rsid w:val="7B571C68"/>
    <w:rsid w:val="7B941ACD"/>
    <w:rsid w:val="7B9E726C"/>
    <w:rsid w:val="7BF53C25"/>
    <w:rsid w:val="7C050B07"/>
    <w:rsid w:val="7C7236B9"/>
    <w:rsid w:val="7CAA7097"/>
    <w:rsid w:val="7CDD2B93"/>
    <w:rsid w:val="7CF4298E"/>
    <w:rsid w:val="7CFB2319"/>
    <w:rsid w:val="7CFC361E"/>
    <w:rsid w:val="7D3768FA"/>
    <w:rsid w:val="7D8255AF"/>
    <w:rsid w:val="7D9D7924"/>
    <w:rsid w:val="7DC00DDD"/>
    <w:rsid w:val="7DCE00F3"/>
    <w:rsid w:val="7DF0192C"/>
    <w:rsid w:val="7E1971B9"/>
    <w:rsid w:val="7E533BCF"/>
    <w:rsid w:val="7EAA67DC"/>
    <w:rsid w:val="7EF768DB"/>
    <w:rsid w:val="7F0439F3"/>
    <w:rsid w:val="7F086B76"/>
    <w:rsid w:val="7F21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autoSpaceDE w:val="0"/>
      <w:autoSpaceDN w:val="0"/>
      <w:adjustRightInd w:val="0"/>
      <w:spacing w:line="360" w:lineRule="auto"/>
    </w:pPr>
    <w:rPr>
      <w:rFonts w:ascii="宋体"/>
      <w:sz w:val="24"/>
      <w:lang w:val="zh-CN"/>
    </w:rPr>
  </w:style>
  <w:style w:type="paragraph" w:styleId="3">
    <w:name w:val="Normal Indent"/>
    <w:basedOn w:val="1"/>
    <w:qFormat/>
    <w:uiPriority w:val="99"/>
    <w:pPr>
      <w:widowControl/>
      <w:adjustRightInd w:val="0"/>
      <w:snapToGrid w:val="0"/>
      <w:spacing w:line="480" w:lineRule="exact"/>
      <w:ind w:firstLine="567"/>
    </w:pPr>
    <w:rPr>
      <w:rFonts w:ascii="宋体" w:hAnsi="Courier New"/>
    </w:rPr>
  </w:style>
  <w:style w:type="paragraph" w:styleId="4">
    <w:name w:val="annotation text"/>
    <w:basedOn w:val="1"/>
    <w:qFormat/>
    <w:uiPriority w:val="0"/>
    <w:pPr>
      <w:jc w:val="left"/>
    </w:pPr>
  </w:style>
  <w:style w:type="paragraph" w:styleId="5">
    <w:name w:val="Body Text Indent"/>
    <w:basedOn w:val="1"/>
    <w:unhideWhenUsed/>
    <w:qFormat/>
    <w:uiPriority w:val="99"/>
    <w:pPr>
      <w:spacing w:after="120"/>
      <w:ind w:left="420" w:leftChars="200"/>
    </w:pPr>
    <w:rPr>
      <w:sz w:val="28"/>
      <w:szCs w:val="20"/>
    </w:rPr>
  </w:style>
  <w:style w:type="paragraph" w:styleId="6">
    <w:name w:val="Plain Text"/>
    <w:basedOn w:val="1"/>
    <w:next w:val="3"/>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qFormat/>
    <w:uiPriority w:val="0"/>
    <w:pPr>
      <w:spacing w:after="0" w:line="200" w:lineRule="atLeast"/>
      <w:ind w:left="0" w:leftChars="0" w:firstLine="420"/>
    </w:pPr>
    <w:rPr>
      <w:rFonts w:ascii="Times New Roman" w:hAnsi="Times New Roman"/>
      <w:spacing w:val="-4"/>
      <w:sz w:val="18"/>
    </w:rPr>
  </w:style>
  <w:style w:type="character" w:styleId="13">
    <w:name w:val="Strong"/>
    <w:basedOn w:val="12"/>
    <w:qFormat/>
    <w:uiPriority w:val="0"/>
    <w:rPr>
      <w:b/>
    </w:rPr>
  </w:style>
  <w:style w:type="paragraph" w:customStyle="1" w:styleId="14">
    <w:name w:val="正文2"/>
    <w:basedOn w:val="1"/>
    <w:qFormat/>
    <w:uiPriority w:val="0"/>
    <w:pPr>
      <w:spacing w:before="156" w:line="360" w:lineRule="auto"/>
      <w:ind w:firstLine="510" w:firstLineChars="200"/>
    </w:pPr>
    <w:rPr>
      <w:sz w:val="24"/>
    </w:rPr>
  </w:style>
  <w:style w:type="paragraph" w:customStyle="1" w:styleId="15">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1295</Words>
  <Characters>7386</Characters>
  <Lines>61</Lines>
  <Paragraphs>17</Paragraphs>
  <TotalTime>26</TotalTime>
  <ScaleCrop>false</ScaleCrop>
  <LinksUpToDate>false</LinksUpToDate>
  <CharactersWithSpaces>8664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2024-06-04T13:26:00Z</dcterms:created>
  <dc:creator>翁聃</dc:creator>
  <cp:lastModifiedBy>WPS_鱼鱼鱼</cp:lastModifiedBy>
  <cp:lastPrinted>2024-04-16T02:30:00Z</cp:lastPrinted>
  <dcterms:modified xsi:type="dcterms:W3CDTF">2024-09-19T03:30:29Z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BDA30BEBC08D44EB8114DDF14C9DEC68_13</vt:lpwstr>
  </property>
</Properties>
</file>